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E40D5">
      <w:pPr>
        <w:jc w:val="both"/>
        <w:outlineLvl w:val="9"/>
        <w:rPr>
          <w:rFonts w:cs="宋体"/>
          <w:b/>
          <w:bCs/>
          <w:color w:val="auto"/>
          <w:sz w:val="72"/>
          <w:szCs w:val="72"/>
        </w:rPr>
      </w:pPr>
      <w:bookmarkStart w:id="0" w:name="_Toc22493"/>
      <w:bookmarkStart w:id="1" w:name="_Toc10882"/>
      <w:bookmarkStart w:id="2" w:name="_Toc14798"/>
      <w:bookmarkStart w:id="3" w:name="_Toc13821"/>
    </w:p>
    <w:p w14:paraId="560CE95A">
      <w:pPr>
        <w:jc w:val="center"/>
        <w:outlineLvl w:val="9"/>
        <w:rPr>
          <w:rFonts w:hint="eastAsia"/>
          <w:b/>
          <w:bCs/>
          <w:color w:val="auto"/>
          <w:sz w:val="56"/>
          <w:szCs w:val="56"/>
          <w:lang w:val="en-US" w:eastAsia="zh-CN"/>
        </w:rPr>
      </w:pPr>
    </w:p>
    <w:p w14:paraId="5AB90109">
      <w:pPr>
        <w:jc w:val="center"/>
        <w:outlineLvl w:val="9"/>
        <w:rPr>
          <w:rFonts w:hint="eastAsia"/>
          <w:b/>
          <w:bCs/>
          <w:color w:val="auto"/>
          <w:sz w:val="56"/>
          <w:szCs w:val="56"/>
          <w:lang w:val="en-US" w:eastAsia="zh-CN"/>
        </w:rPr>
      </w:pPr>
      <w:r>
        <w:rPr>
          <w:b/>
          <w:color w:val="auto"/>
          <w:sz w:val="96"/>
          <w:szCs w:val="96"/>
        </w:rPr>
        <w:drawing>
          <wp:inline distT="0" distB="0" distL="114300" distR="114300">
            <wp:extent cx="1348740" cy="1645920"/>
            <wp:effectExtent l="0" t="0" r="0" b="11430"/>
            <wp:docPr id="2" name="图片 1" descr="吉林动画学院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吉林动画学院院标"/>
                    <pic:cNvPicPr>
                      <a:picLocks noChangeAspect="1"/>
                    </pic:cNvPicPr>
                  </pic:nvPicPr>
                  <pic:blipFill>
                    <a:blip r:embed="rId7"/>
                    <a:stretch>
                      <a:fillRect/>
                    </a:stretch>
                  </pic:blipFill>
                  <pic:spPr>
                    <a:xfrm>
                      <a:off x="0" y="0"/>
                      <a:ext cx="1348740" cy="1645920"/>
                    </a:xfrm>
                    <a:prstGeom prst="rect">
                      <a:avLst/>
                    </a:prstGeom>
                    <a:noFill/>
                    <a:ln>
                      <a:noFill/>
                    </a:ln>
                  </pic:spPr>
                </pic:pic>
              </a:graphicData>
            </a:graphic>
          </wp:inline>
        </w:drawing>
      </w:r>
    </w:p>
    <w:p w14:paraId="0165930B">
      <w:pPr>
        <w:jc w:val="center"/>
        <w:outlineLvl w:val="9"/>
        <w:rPr>
          <w:rFonts w:hint="eastAsia"/>
          <w:b/>
          <w:bCs/>
          <w:color w:val="auto"/>
          <w:sz w:val="56"/>
          <w:szCs w:val="56"/>
          <w:lang w:val="en-US" w:eastAsia="zh-CN"/>
        </w:rPr>
      </w:pPr>
    </w:p>
    <w:p w14:paraId="546A686E">
      <w:pPr>
        <w:jc w:val="center"/>
        <w:outlineLvl w:val="9"/>
        <w:rPr>
          <w:rFonts w:hint="eastAsia"/>
          <w:b/>
          <w:bCs/>
          <w:color w:val="auto"/>
          <w:sz w:val="56"/>
          <w:szCs w:val="56"/>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-478790</wp:posOffset>
                </wp:positionH>
                <wp:positionV relativeFrom="paragraph">
                  <wp:posOffset>104775</wp:posOffset>
                </wp:positionV>
                <wp:extent cx="6223000" cy="143002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223000" cy="1430020"/>
                        </a:xfrm>
                        <a:prstGeom prst="rect">
                          <a:avLst/>
                        </a:prstGeom>
                        <a:noFill/>
                        <a:ln>
                          <a:noFill/>
                        </a:ln>
                      </wps:spPr>
                      <wps:txbx>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35A43D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bCs/>
                                <w:i w:val="0"/>
                                <w:iCs w:val="0"/>
                                <w:caps w:val="0"/>
                                <w:color w:val="auto"/>
                                <w:spacing w:val="0"/>
                                <w:sz w:val="36"/>
                                <w:szCs w:val="36"/>
                                <w:u w:val="none"/>
                                <w:shd w:val="clear" w:color="auto" w:fill="FFFFFF"/>
                                <w:lang w:val="en-US" w:eastAsia="zh-CN"/>
                              </w:rPr>
                            </w:pPr>
                            <w:r>
                              <w:rPr>
                                <w:rFonts w:hint="eastAsia" w:ascii="黑体" w:hAnsi="黑体" w:eastAsia="黑体" w:cs="黑体"/>
                                <w:b/>
                                <w:bCs/>
                                <w:i w:val="0"/>
                                <w:iCs w:val="0"/>
                                <w:caps w:val="0"/>
                                <w:color w:val="auto"/>
                                <w:spacing w:val="0"/>
                                <w:sz w:val="36"/>
                                <w:szCs w:val="36"/>
                                <w:u w:val="none"/>
                                <w:shd w:val="clear" w:color="auto" w:fill="FFFFFF"/>
                                <w:lang w:val="en-US" w:eastAsia="zh-CN"/>
                              </w:rPr>
                              <w:t>第三编 院校教师队伍管理</w:t>
                            </w:r>
                          </w:p>
                          <w:p w14:paraId="3459401F">
                            <w:pPr>
                              <w:pStyle w:val="2"/>
                              <w:rPr>
                                <w:rFonts w:hint="eastAsia"/>
                                <w:lang w:val="en-US" w:eastAsia="zh-CN"/>
                              </w:rPr>
                            </w:pPr>
                          </w:p>
                        </w:txbxContent>
                      </wps:txbx>
                      <wps:bodyPr lIns="0" tIns="0" rIns="0" bIns="0" upright="1"/>
                    </wps:wsp>
                  </a:graphicData>
                </a:graphic>
              </wp:anchor>
            </w:drawing>
          </mc:Choice>
          <mc:Fallback>
            <w:pict>
              <v:shape id="_x0000_s1026" o:spid="_x0000_s1026" o:spt="202" type="#_x0000_t202" style="position:absolute;left:0pt;margin-left:-37.7pt;margin-top:8.25pt;height:112.6pt;width:490pt;z-index:251659264;mso-width-relative:page;mso-height-relative:page;" filled="f" stroked="f" coordsize="21600,21600" o:gfxdata="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ObnO9oAAAAKAQAADwAAAAAAAAABACAAAAAiAAAAZHJzL2Rvd25yZXYueG1sUEsB&#10;AhQAFAAAAAgAh07iQM8EmWO6AQAAcwMAAA4AAAAAAAAAAQAgAAAAKQEAAGRycy9lMm9Eb2MueG1s&#10;UEsFBgAAAAAGAAYAWQEAAFUFAAAAAA==&#10;">
                <v:fill on="f" focussize="0,0"/>
                <v:stroke on="f"/>
                <v:imagedata o:title=""/>
                <o:lock v:ext="edit" aspectratio="f"/>
                <v:textbox inset="0mm,0mm,0mm,0mm">
                  <w:txbxContent>
                    <w:p w14:paraId="6FD4EE8E">
                      <w:pPr>
                        <w:snapToGrid w:val="0"/>
                        <w:jc w:val="center"/>
                        <w:rPr>
                          <w:rFonts w:hint="eastAsia" w:ascii="方正小标宋_GBK" w:hAnsi="方正小标宋_GBK" w:eastAsia="方正小标宋_GBK" w:cs="方正小标宋_GBK"/>
                          <w:color w:val="000000"/>
                          <w:kern w:val="24"/>
                          <w:sz w:val="72"/>
                          <w:szCs w:val="72"/>
                          <w:lang w:val="en-US" w:eastAsia="zh-CN"/>
                        </w:rPr>
                      </w:pPr>
                      <w:r>
                        <w:rPr>
                          <w:rFonts w:hint="eastAsia" w:ascii="方正小标宋_GBK" w:hAnsi="方正小标宋_GBK" w:eastAsia="方正小标宋_GBK" w:cs="方正小标宋_GBK"/>
                          <w:color w:val="000000"/>
                          <w:kern w:val="24"/>
                          <w:sz w:val="72"/>
                          <w:szCs w:val="72"/>
                          <w:lang w:val="en-US" w:eastAsia="zh-CN"/>
                        </w:rPr>
                        <w:t>国家教育教学法律法规汇编</w:t>
                      </w:r>
                    </w:p>
                    <w:p w14:paraId="35A43D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bCs/>
                          <w:i w:val="0"/>
                          <w:iCs w:val="0"/>
                          <w:caps w:val="0"/>
                          <w:color w:val="auto"/>
                          <w:spacing w:val="0"/>
                          <w:sz w:val="36"/>
                          <w:szCs w:val="36"/>
                          <w:u w:val="none"/>
                          <w:shd w:val="clear" w:color="auto" w:fill="FFFFFF"/>
                          <w:lang w:val="en-US" w:eastAsia="zh-CN"/>
                        </w:rPr>
                      </w:pPr>
                      <w:r>
                        <w:rPr>
                          <w:rFonts w:hint="eastAsia" w:ascii="黑体" w:hAnsi="黑体" w:eastAsia="黑体" w:cs="黑体"/>
                          <w:b/>
                          <w:bCs/>
                          <w:i w:val="0"/>
                          <w:iCs w:val="0"/>
                          <w:caps w:val="0"/>
                          <w:color w:val="auto"/>
                          <w:spacing w:val="0"/>
                          <w:sz w:val="36"/>
                          <w:szCs w:val="36"/>
                          <w:u w:val="none"/>
                          <w:shd w:val="clear" w:color="auto" w:fill="FFFFFF"/>
                          <w:lang w:val="en-US" w:eastAsia="zh-CN"/>
                        </w:rPr>
                        <w:t>第三编 院校教师队伍管理</w:t>
                      </w:r>
                    </w:p>
                    <w:p w14:paraId="3459401F">
                      <w:pPr>
                        <w:pStyle w:val="2"/>
                        <w:rPr>
                          <w:rFonts w:hint="eastAsia"/>
                          <w:lang w:val="en-US" w:eastAsia="zh-CN"/>
                        </w:rPr>
                      </w:pPr>
                    </w:p>
                  </w:txbxContent>
                </v:textbox>
              </v:shape>
            </w:pict>
          </mc:Fallback>
        </mc:AlternateContent>
      </w:r>
    </w:p>
    <w:p w14:paraId="3560D94F">
      <w:pPr>
        <w:jc w:val="center"/>
        <w:outlineLvl w:val="9"/>
        <w:rPr>
          <w:rFonts w:hint="eastAsia"/>
          <w:b/>
          <w:bCs/>
          <w:color w:val="auto"/>
          <w:sz w:val="56"/>
          <w:szCs w:val="56"/>
          <w:lang w:val="en-US" w:eastAsia="zh-CN"/>
        </w:rPr>
      </w:pPr>
    </w:p>
    <w:p w14:paraId="0E3B391A">
      <w:pPr>
        <w:jc w:val="both"/>
        <w:outlineLvl w:val="9"/>
        <w:rPr>
          <w:rFonts w:hint="eastAsia" w:ascii="宋体" w:hAnsi="宋体" w:eastAsia="宋体" w:cs="宋体"/>
          <w:b/>
          <w:bCs/>
          <w:color w:val="auto"/>
          <w:sz w:val="48"/>
          <w:szCs w:val="48"/>
          <w:lang w:val="en-US" w:eastAsia="zh-CN"/>
        </w:rPr>
      </w:pPr>
    </w:p>
    <w:p w14:paraId="196766E3">
      <w:pPr>
        <w:tabs>
          <w:tab w:val="left" w:pos="2726"/>
        </w:tabs>
        <w:jc w:val="both"/>
        <w:rPr>
          <w:rFonts w:hint="eastAsia" w:ascii="宋体" w:hAnsi="宋体" w:eastAsia="宋体" w:cs="宋体"/>
          <w:b/>
          <w:bCs/>
          <w:color w:val="auto"/>
          <w:sz w:val="36"/>
          <w:szCs w:val="36"/>
          <w:lang w:val="en-US" w:eastAsia="zh-CN"/>
        </w:rPr>
      </w:pPr>
    </w:p>
    <w:p w14:paraId="0FE0DFBC">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249F29E">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7E33A2A2">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6CBD3785">
      <w:pPr>
        <w:tabs>
          <w:tab w:val="left" w:pos="2726"/>
        </w:tabs>
        <w:jc w:val="both"/>
        <w:rPr>
          <w:rFonts w:hint="eastAsia" w:ascii="方正小标宋_GBK" w:hAnsi="方正小标宋_GBK" w:eastAsia="方正小标宋_GBK" w:cs="方正小标宋_GBK"/>
          <w:b/>
          <w:bCs/>
          <w:color w:val="auto"/>
          <w:sz w:val="56"/>
          <w:szCs w:val="56"/>
          <w:lang w:val="en-US" w:eastAsia="zh-CN"/>
        </w:rPr>
      </w:pPr>
    </w:p>
    <w:p w14:paraId="0EE686D9">
      <w:pPr>
        <w:tabs>
          <w:tab w:val="left" w:pos="2726"/>
        </w:tabs>
        <w:jc w:val="center"/>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lang w:val="en-US" w:eastAsia="zh-CN"/>
        </w:rPr>
        <w:t>吉林动画学院校务部</w:t>
      </w:r>
    </w:p>
    <w:p w14:paraId="0551A205">
      <w:pPr>
        <w:tabs>
          <w:tab w:val="left" w:pos="2726"/>
        </w:tabs>
        <w:jc w:val="center"/>
        <w:rPr>
          <w:rFonts w:hint="eastAsia" w:ascii="楷体" w:hAnsi="楷体" w:eastAsia="楷体" w:cs="楷体"/>
          <w:b/>
          <w:bCs/>
          <w:color w:val="auto"/>
          <w:sz w:val="56"/>
          <w:szCs w:val="56"/>
          <w:lang w:val="en-US" w:eastAsia="zh-CN"/>
        </w:rPr>
        <w:sectPr>
          <w:footerReference r:id="rId3" w:type="default"/>
          <w:pgSz w:w="11905" w:h="16838"/>
          <w:pgMar w:top="1417" w:right="1417" w:bottom="1417" w:left="1701" w:header="850" w:footer="992" w:gutter="0"/>
          <w:pgNumType w:fmt="decimal"/>
          <w:cols w:space="720" w:num="1"/>
          <w:rtlGutter w:val="0"/>
          <w:docGrid w:type="lines" w:linePitch="318" w:charSpace="0"/>
        </w:sectPr>
      </w:pPr>
      <w:r>
        <w:rPr>
          <w:rFonts w:hint="eastAsia" w:ascii="方正仿宋简体" w:hAnsi="方正仿宋简体" w:eastAsia="方正仿宋简体" w:cs="方正仿宋简体"/>
          <w:b/>
          <w:bCs/>
          <w:color w:val="auto"/>
          <w:sz w:val="32"/>
          <w:szCs w:val="32"/>
          <w:lang w:val="en-US" w:eastAsia="zh-CN"/>
        </w:rPr>
        <w:t>（2024年编</w:t>
      </w:r>
      <w:r>
        <w:rPr>
          <w:color w:val="auto"/>
        </w:rPr>
        <mc:AlternateContent>
          <mc:Choice Requires="wps">
            <w:drawing>
              <wp:anchor distT="0" distB="0" distL="114300" distR="114300" simplePos="0" relativeHeight="251660288" behindDoc="0" locked="0" layoutInCell="1" allowOverlap="1">
                <wp:simplePos x="0" y="0"/>
                <wp:positionH relativeFrom="margin">
                  <wp:posOffset>405130</wp:posOffset>
                </wp:positionH>
                <wp:positionV relativeFrom="paragraph">
                  <wp:posOffset>8450580</wp:posOffset>
                </wp:positionV>
                <wp:extent cx="4768850" cy="594360"/>
                <wp:effectExtent l="0" t="0" r="0" b="0"/>
                <wp:wrapNone/>
                <wp:docPr id="8" name="文本框 8"/>
                <wp:cNvGraphicFramePr/>
                <a:graphic xmlns:a="http://schemas.openxmlformats.org/drawingml/2006/main">
                  <a:graphicData uri="http://schemas.microsoft.com/office/word/2010/wordprocessingShape">
                    <wps:wsp>
                      <wps:cNvSpPr txBox="1"/>
                      <wps:spPr>
                        <a:xfrm>
                          <a:off x="1395730" y="9364980"/>
                          <a:ext cx="4768850" cy="594360"/>
                        </a:xfrm>
                        <a:prstGeom prst="rect">
                          <a:avLst/>
                        </a:prstGeom>
                        <a:noFill/>
                        <a:ln>
                          <a:noFill/>
                        </a:ln>
                        <a:effectLst/>
                      </wps:spPr>
                      <wps:txbx>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wps:txbx>
                      <wps:bodyPr wrap="square" lIns="0" tIns="0" rIns="0" bIns="0" rtlCol="0">
                        <a:spAutoFit/>
                      </wps:bodyPr>
                    </wps:wsp>
                  </a:graphicData>
                </a:graphic>
              </wp:anchor>
            </w:drawing>
          </mc:Choice>
          <mc:Fallback>
            <w:pict>
              <v:shape id="_x0000_s1026" o:spid="_x0000_s1026" o:spt="202" type="#_x0000_t202" style="position:absolute;left:0pt;margin-left:31.9pt;margin-top:665.4pt;height:46.8pt;width:375.5pt;mso-position-horizontal-relative:margin;z-index:251660288;mso-width-relative:page;mso-height-relative:page;" filled="f" stroked="f" coordsize="21600,21600" o:gfxdata="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dAwmdcAAAAMAQAA&#10;DwAAAAAAAAABACAAAAAiAAAAZHJzL2Rvd25yZXYueG1sUEsBAhQAFAAAAAgAh07iQDVqD6bhAQAA&#10;swMAAA4AAAAAAAAAAQAgAAAAJgEAAGRycy9lMm9Eb2MueG1sUEsFBgAAAAAGAAYAWQEAAHkFAAAA&#10;AA==&#10;">
                <v:fill on="f" focussize="0,0"/>
                <v:stroke on="f"/>
                <v:imagedata o:title=""/>
                <o:lock v:ext="edit" aspectratio="f"/>
                <v:textbox inset="0mm,0mm,0mm,0mm" style="mso-fit-shape-to-text:t;">
                  <w:txbxContent>
                    <w:p w14:paraId="1498DEFC">
                      <w:pPr>
                        <w:jc w:val="center"/>
                        <w:rPr>
                          <w:rFonts w:hint="eastAsia" w:ascii="汉仪中宋简" w:hAnsi="思源黑体 CN Normal" w:eastAsia="汉仪中宋简"/>
                          <w:color w:val="000000"/>
                          <w:kern w:val="0"/>
                          <w:sz w:val="16"/>
                          <w:szCs w:val="16"/>
                          <w:lang w:eastAsia="zh-CN"/>
                        </w:rPr>
                      </w:pPr>
                      <w:r>
                        <w:rPr>
                          <w:rFonts w:hint="eastAsia" w:ascii="汉仪中宋简" w:hAnsi="思源黑体 CN Normal" w:eastAsia="汉仪中宋简"/>
                          <w:color w:val="000000"/>
                          <w:kern w:val="24"/>
                          <w:sz w:val="28"/>
                          <w:szCs w:val="28"/>
                          <w:lang w:eastAsia="zh-CN"/>
                        </w:rPr>
                        <w:t>校务部</w:t>
                      </w:r>
                    </w:p>
                  </w:txbxContent>
                </v:textbox>
              </v:shape>
            </w:pict>
          </mc:Fallback>
        </mc:AlternateContent>
      </w:r>
      <w:r>
        <w:rPr>
          <w:rFonts w:hint="eastAsia" w:ascii="方正仿宋简体" w:hAnsi="方正仿宋简体" w:eastAsia="方正仿宋简体" w:cs="方正仿宋简体"/>
          <w:b/>
          <w:bCs/>
          <w:color w:val="auto"/>
          <w:sz w:val="32"/>
          <w:szCs w:val="32"/>
          <w:lang w:val="en-US" w:eastAsia="zh-CN"/>
        </w:rPr>
        <w:t>）</w:t>
      </w:r>
    </w:p>
    <w:p w14:paraId="2AC963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jc w:val="center"/>
        <w:textAlignment w:val="auto"/>
        <w:outlineLvl w:val="0"/>
        <w:rPr>
          <w:rFonts w:hint="eastAsia" w:ascii="黑体" w:hAnsi="黑体" w:eastAsia="黑体" w:cs="黑体"/>
          <w:i w:val="0"/>
          <w:iCs w:val="0"/>
          <w:caps w:val="0"/>
          <w:color w:val="auto"/>
          <w:spacing w:val="0"/>
          <w:sz w:val="36"/>
          <w:szCs w:val="36"/>
          <w:lang w:val="en-US" w:eastAsia="zh-CN"/>
        </w:rPr>
      </w:pPr>
      <w:r>
        <w:rPr>
          <w:rFonts w:hint="eastAsia" w:ascii="黑体" w:hAnsi="黑体" w:eastAsia="黑体" w:cs="黑体"/>
          <w:i w:val="0"/>
          <w:iCs w:val="0"/>
          <w:caps w:val="0"/>
          <w:color w:val="auto"/>
          <w:spacing w:val="0"/>
          <w:sz w:val="36"/>
          <w:szCs w:val="36"/>
          <w:lang w:val="en-US" w:eastAsia="zh-CN"/>
        </w:rPr>
        <w:t>目  录</w:t>
      </w:r>
      <w:bookmarkEnd w:id="0"/>
      <w:bookmarkEnd w:id="1"/>
      <w:bookmarkEnd w:id="2"/>
    </w:p>
    <w:p w14:paraId="206C4B0E">
      <w:pPr>
        <w:pStyle w:val="9"/>
        <w:tabs>
          <w:tab w:val="right" w:leader="dot" w:pos="8306"/>
        </w:tabs>
        <w:rPr>
          <w:rFonts w:hint="default" w:eastAsia="宋体"/>
          <w:color w:val="0000FF"/>
          <w:highlight w:val="yellow"/>
          <w:lang w:val="en-US" w:eastAsia="zh-CN"/>
        </w:rPr>
      </w:pPr>
      <w:r>
        <w:rPr>
          <w:color w:val="auto"/>
        </w:rPr>
        <w:fldChar w:fldCharType="begin"/>
      </w:r>
      <w:r>
        <w:rPr>
          <w:color w:val="auto"/>
        </w:rPr>
        <w:instrText xml:space="preserve">TOC \o "1-2" \h \u </w:instrText>
      </w:r>
      <w:r>
        <w:rPr>
          <w:color w:val="auto"/>
        </w:rPr>
        <w:fldChar w:fldCharType="separate"/>
      </w:r>
    </w:p>
    <w:p w14:paraId="7A6C4BFA">
      <w:pPr>
        <w:pStyle w:val="8"/>
        <w:tabs>
          <w:tab w:val="right" w:leader="dot" w:pos="8306"/>
        </w:tabs>
        <w:rPr>
          <w:highlight w:val="none"/>
        </w:rPr>
      </w:pPr>
      <w:r>
        <w:rPr>
          <w:color w:val="auto"/>
          <w:highlight w:val="none"/>
        </w:rPr>
        <w:fldChar w:fldCharType="begin"/>
      </w:r>
      <w:r>
        <w:rPr>
          <w:highlight w:val="none"/>
        </w:rPr>
        <w:instrText xml:space="preserve"> HYPERLINK \l _Toc13821 </w:instrText>
      </w:r>
      <w:r>
        <w:rPr>
          <w:highlight w:val="none"/>
        </w:rPr>
        <w:fldChar w:fldCharType="separate"/>
      </w:r>
      <w:r>
        <w:rPr>
          <w:rFonts w:hint="eastAsia" w:ascii="黑体" w:hAnsi="黑体" w:eastAsia="黑体" w:cs="黑体"/>
          <w:bCs/>
          <w:i w:val="0"/>
          <w:iCs w:val="0"/>
          <w:caps w:val="0"/>
          <w:spacing w:val="0"/>
          <w:szCs w:val="36"/>
          <w:highlight w:val="none"/>
          <w:shd w:val="clear" w:color="auto" w:fill="FFFFFF"/>
          <w:lang w:val="en-US" w:eastAsia="zh-CN"/>
        </w:rPr>
        <w:t>第三编 院校教师队伍管理</w:t>
      </w:r>
      <w:r>
        <w:rPr>
          <w:highlight w:val="none"/>
        </w:rPr>
        <w:tab/>
      </w:r>
      <w:r>
        <w:rPr>
          <w:highlight w:val="none"/>
        </w:rPr>
        <w:fldChar w:fldCharType="begin"/>
      </w:r>
      <w:r>
        <w:rPr>
          <w:highlight w:val="none"/>
        </w:rPr>
        <w:instrText xml:space="preserve"> PAGEREF _Toc13821 \h </w:instrText>
      </w:r>
      <w:r>
        <w:rPr>
          <w:highlight w:val="none"/>
        </w:rPr>
        <w:fldChar w:fldCharType="separate"/>
      </w:r>
      <w:r>
        <w:rPr>
          <w:highlight w:val="none"/>
        </w:rPr>
        <w:t>1</w:t>
      </w:r>
      <w:r>
        <w:rPr>
          <w:highlight w:val="none"/>
        </w:rPr>
        <w:fldChar w:fldCharType="end"/>
      </w:r>
      <w:r>
        <w:rPr>
          <w:color w:val="auto"/>
          <w:highlight w:val="none"/>
        </w:rPr>
        <w:fldChar w:fldCharType="end"/>
      </w:r>
    </w:p>
    <w:p w14:paraId="6F80EBA7">
      <w:pPr>
        <w:pStyle w:val="9"/>
        <w:tabs>
          <w:tab w:val="right" w:leader="dot" w:pos="8306"/>
        </w:tabs>
        <w:rPr>
          <w:highlight w:val="none"/>
        </w:rPr>
      </w:pPr>
      <w:r>
        <w:rPr>
          <w:rFonts w:hint="eastAsia"/>
          <w:color w:val="auto"/>
          <w:highlight w:val="none"/>
          <w:lang w:val="en-US" w:eastAsia="zh-CN"/>
        </w:rPr>
        <w:t>3.1</w:t>
      </w:r>
      <w:r>
        <w:rPr>
          <w:color w:val="auto"/>
          <w:highlight w:val="none"/>
        </w:rPr>
        <w:fldChar w:fldCharType="begin"/>
      </w:r>
      <w:r>
        <w:rPr>
          <w:highlight w:val="none"/>
        </w:rPr>
        <w:instrText xml:space="preserve"> HYPERLINK \l _Toc15497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普通高等学校辅导员队伍建设规定</w:t>
      </w:r>
      <w:r>
        <w:rPr>
          <w:highlight w:val="none"/>
        </w:rPr>
        <w:tab/>
      </w:r>
      <w:r>
        <w:rPr>
          <w:highlight w:val="none"/>
        </w:rPr>
        <w:fldChar w:fldCharType="begin"/>
      </w:r>
      <w:r>
        <w:rPr>
          <w:highlight w:val="none"/>
        </w:rPr>
        <w:instrText xml:space="preserve"> PAGEREF _Toc15497 \h </w:instrText>
      </w:r>
      <w:r>
        <w:rPr>
          <w:highlight w:val="none"/>
        </w:rPr>
        <w:fldChar w:fldCharType="separate"/>
      </w:r>
      <w:r>
        <w:rPr>
          <w:highlight w:val="none"/>
        </w:rPr>
        <w:t>1</w:t>
      </w:r>
      <w:r>
        <w:rPr>
          <w:highlight w:val="none"/>
        </w:rPr>
        <w:fldChar w:fldCharType="end"/>
      </w:r>
      <w:r>
        <w:rPr>
          <w:color w:val="auto"/>
          <w:highlight w:val="none"/>
        </w:rPr>
        <w:fldChar w:fldCharType="end"/>
      </w:r>
    </w:p>
    <w:p w14:paraId="24552B12">
      <w:pPr>
        <w:pStyle w:val="9"/>
        <w:tabs>
          <w:tab w:val="right" w:leader="dot" w:pos="8306"/>
        </w:tabs>
        <w:rPr>
          <w:highlight w:val="none"/>
        </w:rPr>
      </w:pPr>
      <w:r>
        <w:rPr>
          <w:rFonts w:hint="eastAsia"/>
          <w:color w:val="auto"/>
          <w:highlight w:val="none"/>
          <w:lang w:val="en-US" w:eastAsia="zh-CN"/>
        </w:rPr>
        <w:t>3.2</w:t>
      </w:r>
      <w:r>
        <w:rPr>
          <w:color w:val="auto"/>
          <w:highlight w:val="none"/>
        </w:rPr>
        <w:fldChar w:fldCharType="begin"/>
      </w:r>
      <w:r>
        <w:rPr>
          <w:highlight w:val="none"/>
        </w:rPr>
        <w:instrText xml:space="preserve"> HYPERLINK \l _Toc25895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关于分类推进人才评价机制改革的指导意见</w:t>
      </w:r>
      <w:r>
        <w:rPr>
          <w:highlight w:val="none"/>
        </w:rPr>
        <w:tab/>
      </w:r>
      <w:r>
        <w:rPr>
          <w:highlight w:val="none"/>
        </w:rPr>
        <w:fldChar w:fldCharType="begin"/>
      </w:r>
      <w:r>
        <w:rPr>
          <w:highlight w:val="none"/>
        </w:rPr>
        <w:instrText xml:space="preserve"> PAGEREF _Toc25895 \h </w:instrText>
      </w:r>
      <w:r>
        <w:rPr>
          <w:highlight w:val="none"/>
        </w:rPr>
        <w:fldChar w:fldCharType="separate"/>
      </w:r>
      <w:r>
        <w:rPr>
          <w:highlight w:val="none"/>
        </w:rPr>
        <w:t>5</w:t>
      </w:r>
      <w:r>
        <w:rPr>
          <w:highlight w:val="none"/>
        </w:rPr>
        <w:fldChar w:fldCharType="end"/>
      </w:r>
      <w:r>
        <w:rPr>
          <w:color w:val="auto"/>
          <w:highlight w:val="none"/>
        </w:rPr>
        <w:fldChar w:fldCharType="end"/>
      </w:r>
    </w:p>
    <w:p w14:paraId="617CDAD5">
      <w:pPr>
        <w:pStyle w:val="9"/>
        <w:tabs>
          <w:tab w:val="right" w:leader="dot" w:pos="8306"/>
        </w:tabs>
        <w:rPr>
          <w:highlight w:val="none"/>
        </w:rPr>
      </w:pPr>
      <w:r>
        <w:rPr>
          <w:rFonts w:hint="eastAsia"/>
          <w:color w:val="auto"/>
          <w:highlight w:val="none"/>
          <w:lang w:val="en-US" w:eastAsia="zh-CN"/>
        </w:rPr>
        <w:t>3.3</w:t>
      </w:r>
      <w:r>
        <w:rPr>
          <w:color w:val="auto"/>
          <w:highlight w:val="none"/>
        </w:rPr>
        <w:fldChar w:fldCharType="begin"/>
      </w:r>
      <w:r>
        <w:rPr>
          <w:highlight w:val="none"/>
        </w:rPr>
        <w:instrText xml:space="preserve"> HYPERLINK \l _Toc17339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关于加强和改进新时代师德师风建设的意见</w:t>
      </w:r>
      <w:r>
        <w:rPr>
          <w:highlight w:val="none"/>
        </w:rPr>
        <w:tab/>
      </w:r>
      <w:r>
        <w:rPr>
          <w:highlight w:val="none"/>
        </w:rPr>
        <w:fldChar w:fldCharType="begin"/>
      </w:r>
      <w:r>
        <w:rPr>
          <w:highlight w:val="none"/>
        </w:rPr>
        <w:instrText xml:space="preserve"> PAGEREF _Toc17339 \h </w:instrText>
      </w:r>
      <w:r>
        <w:rPr>
          <w:highlight w:val="none"/>
        </w:rPr>
        <w:fldChar w:fldCharType="separate"/>
      </w:r>
      <w:r>
        <w:rPr>
          <w:highlight w:val="none"/>
        </w:rPr>
        <w:t>10</w:t>
      </w:r>
      <w:r>
        <w:rPr>
          <w:highlight w:val="none"/>
        </w:rPr>
        <w:fldChar w:fldCharType="end"/>
      </w:r>
      <w:r>
        <w:rPr>
          <w:color w:val="auto"/>
          <w:highlight w:val="none"/>
        </w:rPr>
        <w:fldChar w:fldCharType="end"/>
      </w:r>
    </w:p>
    <w:p w14:paraId="4C57937B">
      <w:pPr>
        <w:pStyle w:val="9"/>
        <w:tabs>
          <w:tab w:val="right" w:leader="dot" w:pos="8306"/>
        </w:tabs>
        <w:rPr>
          <w:highlight w:val="none"/>
        </w:rPr>
      </w:pPr>
      <w:r>
        <w:rPr>
          <w:rFonts w:hint="eastAsia"/>
          <w:color w:val="auto"/>
          <w:highlight w:val="none"/>
          <w:lang w:val="en-US" w:eastAsia="zh-CN"/>
        </w:rPr>
        <w:t>3.4</w:t>
      </w:r>
      <w:r>
        <w:rPr>
          <w:color w:val="auto"/>
          <w:highlight w:val="none"/>
        </w:rPr>
        <w:fldChar w:fldCharType="begin"/>
      </w:r>
      <w:r>
        <w:rPr>
          <w:highlight w:val="none"/>
        </w:rPr>
        <w:instrText xml:space="preserve"> HYPERLINK \l _Toc14124 </w:instrText>
      </w:r>
      <w:r>
        <w:rPr>
          <w:highlight w:val="none"/>
        </w:rPr>
        <w:fldChar w:fldCharType="separate"/>
      </w:r>
      <w:r>
        <w:rPr>
          <w:rFonts w:hint="eastAsia" w:ascii="宋体" w:hAnsi="宋体" w:eastAsia="宋体" w:cs="宋体"/>
          <w:bCs/>
          <w:i w:val="0"/>
          <w:iCs w:val="0"/>
          <w:caps w:val="0"/>
          <w:spacing w:val="0"/>
          <w:kern w:val="0"/>
          <w:szCs w:val="36"/>
          <w:highlight w:val="none"/>
          <w:shd w:val="clear" w:color="auto" w:fill="FFFFFF"/>
          <w:lang w:val="en-US" w:eastAsia="zh-CN" w:bidi="ar"/>
        </w:rPr>
        <w:t>新时代高等学校思想政治理论课教师队伍建设规定</w:t>
      </w:r>
      <w:r>
        <w:rPr>
          <w:highlight w:val="none"/>
        </w:rPr>
        <w:tab/>
      </w:r>
      <w:r>
        <w:rPr>
          <w:highlight w:val="none"/>
        </w:rPr>
        <w:fldChar w:fldCharType="begin"/>
      </w:r>
      <w:r>
        <w:rPr>
          <w:highlight w:val="none"/>
        </w:rPr>
        <w:instrText xml:space="preserve"> PAGEREF _Toc14124 \h </w:instrText>
      </w:r>
      <w:r>
        <w:rPr>
          <w:highlight w:val="none"/>
        </w:rPr>
        <w:fldChar w:fldCharType="separate"/>
      </w:r>
      <w:r>
        <w:rPr>
          <w:highlight w:val="none"/>
        </w:rPr>
        <w:t>14</w:t>
      </w:r>
      <w:r>
        <w:rPr>
          <w:highlight w:val="none"/>
        </w:rPr>
        <w:fldChar w:fldCharType="end"/>
      </w:r>
      <w:r>
        <w:rPr>
          <w:color w:val="auto"/>
          <w:highlight w:val="none"/>
        </w:rPr>
        <w:fldChar w:fldCharType="end"/>
      </w:r>
    </w:p>
    <w:p w14:paraId="679D3BAB">
      <w:pPr>
        <w:pStyle w:val="9"/>
        <w:tabs>
          <w:tab w:val="right" w:leader="dot" w:pos="8306"/>
        </w:tabs>
        <w:rPr>
          <w:highlight w:val="none"/>
        </w:rPr>
      </w:pPr>
      <w:r>
        <w:rPr>
          <w:rFonts w:hint="eastAsia"/>
          <w:color w:val="auto"/>
          <w:highlight w:val="none"/>
          <w:lang w:val="en-US" w:eastAsia="zh-CN"/>
        </w:rPr>
        <w:t>3.5</w:t>
      </w:r>
      <w:r>
        <w:rPr>
          <w:color w:val="auto"/>
          <w:highlight w:val="none"/>
        </w:rPr>
        <w:fldChar w:fldCharType="begin"/>
      </w:r>
      <w:r>
        <w:rPr>
          <w:highlight w:val="none"/>
        </w:rPr>
        <w:instrText xml:space="preserve"> HYPERLINK \l _Toc9727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关于加强新时代高校教师队伍建设改革</w:t>
      </w:r>
      <w:r>
        <w:rPr>
          <w:rFonts w:hint="eastAsia" w:ascii="宋体" w:hAnsi="宋体" w:cs="宋体"/>
          <w:bCs/>
          <w:i w:val="0"/>
          <w:iCs w:val="0"/>
          <w:caps w:val="0"/>
          <w:spacing w:val="0"/>
          <w:szCs w:val="36"/>
          <w:highlight w:val="none"/>
          <w:shd w:val="clear" w:color="auto" w:fill="FFFFFF"/>
          <w:lang w:val="en-US" w:eastAsia="zh-CN"/>
        </w:rPr>
        <w:t>的</w:t>
      </w:r>
      <w:r>
        <w:rPr>
          <w:rFonts w:hint="eastAsia" w:ascii="宋体" w:hAnsi="宋体" w:eastAsia="宋体" w:cs="宋体"/>
          <w:bCs/>
          <w:i w:val="0"/>
          <w:iCs w:val="0"/>
          <w:caps w:val="0"/>
          <w:spacing w:val="0"/>
          <w:szCs w:val="36"/>
          <w:highlight w:val="none"/>
          <w:shd w:val="clear" w:color="auto" w:fill="FFFFFF"/>
        </w:rPr>
        <w:t>指导意见</w:t>
      </w:r>
      <w:r>
        <w:rPr>
          <w:highlight w:val="none"/>
        </w:rPr>
        <w:tab/>
      </w:r>
      <w:r>
        <w:rPr>
          <w:highlight w:val="none"/>
        </w:rPr>
        <w:fldChar w:fldCharType="begin"/>
      </w:r>
      <w:r>
        <w:rPr>
          <w:highlight w:val="none"/>
        </w:rPr>
        <w:instrText xml:space="preserve"> PAGEREF _Toc9727 \h </w:instrText>
      </w:r>
      <w:r>
        <w:rPr>
          <w:highlight w:val="none"/>
        </w:rPr>
        <w:fldChar w:fldCharType="separate"/>
      </w:r>
      <w:r>
        <w:rPr>
          <w:highlight w:val="none"/>
        </w:rPr>
        <w:t>18</w:t>
      </w:r>
      <w:r>
        <w:rPr>
          <w:highlight w:val="none"/>
        </w:rPr>
        <w:fldChar w:fldCharType="end"/>
      </w:r>
      <w:r>
        <w:rPr>
          <w:color w:val="auto"/>
          <w:highlight w:val="none"/>
        </w:rPr>
        <w:fldChar w:fldCharType="end"/>
      </w:r>
    </w:p>
    <w:p w14:paraId="4CA933A3">
      <w:pPr>
        <w:pStyle w:val="9"/>
        <w:tabs>
          <w:tab w:val="right" w:leader="dot" w:pos="8306"/>
        </w:tabs>
        <w:rPr>
          <w:highlight w:val="none"/>
        </w:rPr>
      </w:pPr>
      <w:r>
        <w:rPr>
          <w:rFonts w:hint="eastAsia"/>
          <w:color w:val="auto"/>
          <w:highlight w:val="none"/>
          <w:lang w:val="en-US" w:eastAsia="zh-CN"/>
        </w:rPr>
        <w:t>3.6</w:t>
      </w:r>
      <w:r>
        <w:rPr>
          <w:color w:val="auto"/>
          <w:highlight w:val="none"/>
        </w:rPr>
        <w:fldChar w:fldCharType="begin"/>
      </w:r>
      <w:r>
        <w:rPr>
          <w:highlight w:val="none"/>
        </w:rPr>
        <w:instrText xml:space="preserve"> HYPERLINK \l _Toc23044 </w:instrText>
      </w:r>
      <w:r>
        <w:rPr>
          <w:highlight w:val="none"/>
        </w:rPr>
        <w:fldChar w:fldCharType="separate"/>
      </w:r>
      <w:r>
        <w:rPr>
          <w:rFonts w:hint="eastAsia" w:ascii="宋体" w:hAnsi="宋体" w:eastAsia="宋体" w:cs="宋体"/>
          <w:bCs/>
          <w:i w:val="0"/>
          <w:iCs w:val="0"/>
          <w:caps w:val="0"/>
          <w:spacing w:val="0"/>
          <w:szCs w:val="36"/>
          <w:highlight w:val="none"/>
          <w:shd w:val="clear" w:color="auto" w:fill="FFFFFF"/>
        </w:rPr>
        <w:t>关于加强新时代高技能人才队伍建设的意见</w:t>
      </w:r>
      <w:r>
        <w:rPr>
          <w:highlight w:val="none"/>
        </w:rPr>
        <w:tab/>
      </w:r>
      <w:r>
        <w:rPr>
          <w:highlight w:val="none"/>
        </w:rPr>
        <w:fldChar w:fldCharType="begin"/>
      </w:r>
      <w:r>
        <w:rPr>
          <w:highlight w:val="none"/>
        </w:rPr>
        <w:instrText xml:space="preserve"> PAGEREF _Toc23044 \h </w:instrText>
      </w:r>
      <w:r>
        <w:rPr>
          <w:highlight w:val="none"/>
        </w:rPr>
        <w:fldChar w:fldCharType="separate"/>
      </w:r>
      <w:r>
        <w:rPr>
          <w:highlight w:val="none"/>
        </w:rPr>
        <w:t>22</w:t>
      </w:r>
      <w:r>
        <w:rPr>
          <w:highlight w:val="none"/>
        </w:rPr>
        <w:fldChar w:fldCharType="end"/>
      </w:r>
      <w:r>
        <w:rPr>
          <w:color w:val="auto"/>
          <w:highlight w:val="none"/>
        </w:rPr>
        <w:fldChar w:fldCharType="end"/>
      </w:r>
    </w:p>
    <w:p w14:paraId="0ED25928">
      <w:pPr>
        <w:pStyle w:val="9"/>
        <w:tabs>
          <w:tab w:val="right" w:leader="dot" w:pos="8306"/>
        </w:tabs>
        <w:rPr>
          <w:highlight w:val="none"/>
        </w:rPr>
      </w:pPr>
      <w:r>
        <w:rPr>
          <w:rFonts w:hint="eastAsia"/>
          <w:color w:val="auto"/>
          <w:highlight w:val="none"/>
          <w:lang w:val="en-US" w:eastAsia="zh-CN"/>
        </w:rPr>
        <w:t>3.7</w:t>
      </w:r>
      <w:r>
        <w:rPr>
          <w:color w:val="auto"/>
          <w:highlight w:val="none"/>
        </w:rPr>
        <w:fldChar w:fldCharType="begin"/>
      </w:r>
      <w:r>
        <w:rPr>
          <w:highlight w:val="none"/>
        </w:rPr>
        <w:instrText xml:space="preserve"> HYPERLINK \l _Toc26795 </w:instrText>
      </w:r>
      <w:r>
        <w:rPr>
          <w:highlight w:val="none"/>
        </w:rPr>
        <w:fldChar w:fldCharType="separate"/>
      </w:r>
      <w:r>
        <w:rPr>
          <w:rFonts w:hint="eastAsia" w:ascii="宋体" w:hAnsi="宋体" w:eastAsia="宋体" w:cs="宋体"/>
          <w:bCs/>
          <w:i w:val="0"/>
          <w:iCs w:val="0"/>
          <w:caps w:val="0"/>
          <w:spacing w:val="0"/>
          <w:kern w:val="0"/>
          <w:szCs w:val="36"/>
          <w:highlight w:val="none"/>
          <w:shd w:val="clear" w:color="auto" w:fill="FFFFFF"/>
          <w:lang w:val="en-US" w:eastAsia="zh-CN" w:bidi="ar"/>
        </w:rPr>
        <w:t>教师资格条例</w:t>
      </w:r>
      <w:r>
        <w:rPr>
          <w:highlight w:val="none"/>
        </w:rPr>
        <w:tab/>
      </w:r>
      <w:r>
        <w:rPr>
          <w:highlight w:val="none"/>
        </w:rPr>
        <w:fldChar w:fldCharType="begin"/>
      </w:r>
      <w:r>
        <w:rPr>
          <w:highlight w:val="none"/>
        </w:rPr>
        <w:instrText xml:space="preserve"> PAGEREF _Toc26795 \h </w:instrText>
      </w:r>
      <w:r>
        <w:rPr>
          <w:highlight w:val="none"/>
        </w:rPr>
        <w:fldChar w:fldCharType="separate"/>
      </w:r>
      <w:r>
        <w:rPr>
          <w:highlight w:val="none"/>
        </w:rPr>
        <w:t>26</w:t>
      </w:r>
      <w:r>
        <w:rPr>
          <w:highlight w:val="none"/>
        </w:rPr>
        <w:fldChar w:fldCharType="end"/>
      </w:r>
      <w:r>
        <w:rPr>
          <w:color w:val="auto"/>
          <w:highlight w:val="none"/>
        </w:rPr>
        <w:fldChar w:fldCharType="end"/>
      </w:r>
    </w:p>
    <w:p w14:paraId="5F44AD9D">
      <w:pPr>
        <w:pStyle w:val="9"/>
        <w:tabs>
          <w:tab w:val="right" w:leader="dot" w:pos="8306"/>
        </w:tabs>
        <w:rPr>
          <w:highlight w:val="magenta"/>
        </w:rPr>
      </w:pPr>
      <w:r>
        <w:rPr>
          <w:rFonts w:hint="eastAsia"/>
          <w:color w:val="auto"/>
          <w:highlight w:val="none"/>
          <w:lang w:val="en-US" w:eastAsia="zh-CN"/>
        </w:rPr>
        <w:t>3.8</w:t>
      </w:r>
      <w:r>
        <w:rPr>
          <w:color w:val="auto"/>
          <w:highlight w:val="none"/>
        </w:rPr>
        <w:fldChar w:fldCharType="begin"/>
      </w:r>
      <w:r>
        <w:rPr>
          <w:highlight w:val="none"/>
        </w:rPr>
        <w:instrText xml:space="preserve"> HYPERLINK \l _Toc30718 </w:instrText>
      </w:r>
      <w:r>
        <w:rPr>
          <w:highlight w:val="none"/>
        </w:rPr>
        <w:fldChar w:fldCharType="separate"/>
      </w:r>
      <w:r>
        <w:rPr>
          <w:rFonts w:hint="eastAsia" w:ascii="宋体" w:hAnsi="宋体" w:eastAsia="宋体" w:cs="宋体"/>
          <w:bCs/>
          <w:i w:val="0"/>
          <w:iCs w:val="0"/>
          <w:caps w:val="0"/>
          <w:spacing w:val="0"/>
          <w:kern w:val="0"/>
          <w:szCs w:val="36"/>
          <w:highlight w:val="none"/>
          <w:shd w:val="clear" w:color="auto" w:fill="FFFFFF"/>
          <w:lang w:val="en-US" w:eastAsia="zh-CN" w:bidi="ar"/>
        </w:rPr>
        <w:t>教育部关于印发《新时代高校教师职业行为十项准则》《新时代中小学教师职业行为十项准则》《新时代幼儿园教师职业行为十项准则》的通知</w:t>
      </w:r>
      <w:r>
        <w:rPr>
          <w:highlight w:val="none"/>
        </w:rPr>
        <w:tab/>
      </w:r>
      <w:r>
        <w:rPr>
          <w:highlight w:val="none"/>
        </w:rPr>
        <w:fldChar w:fldCharType="begin"/>
      </w:r>
      <w:r>
        <w:rPr>
          <w:highlight w:val="none"/>
        </w:rPr>
        <w:instrText xml:space="preserve"> PAGEREF _Toc30718 \h </w:instrText>
      </w:r>
      <w:r>
        <w:rPr>
          <w:highlight w:val="none"/>
        </w:rPr>
        <w:fldChar w:fldCharType="separate"/>
      </w:r>
      <w:r>
        <w:rPr>
          <w:highlight w:val="none"/>
        </w:rPr>
        <w:t>29</w:t>
      </w:r>
      <w:r>
        <w:rPr>
          <w:highlight w:val="none"/>
        </w:rPr>
        <w:fldChar w:fldCharType="end"/>
      </w:r>
      <w:r>
        <w:rPr>
          <w:color w:val="auto"/>
          <w:highlight w:val="none"/>
        </w:rPr>
        <w:fldChar w:fldCharType="end"/>
      </w:r>
    </w:p>
    <w:p w14:paraId="7D9363DD">
      <w:pPr>
        <w:rPr>
          <w:color w:val="auto"/>
        </w:rPr>
      </w:pPr>
      <w:r>
        <w:rPr>
          <w:color w:val="auto"/>
        </w:rPr>
        <w:fldChar w:fldCharType="end"/>
      </w:r>
    </w:p>
    <w:p w14:paraId="18AE05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bCs/>
          <w:i w:val="0"/>
          <w:iCs w:val="0"/>
          <w:caps w:val="0"/>
          <w:color w:val="auto"/>
          <w:spacing w:val="0"/>
          <w:sz w:val="36"/>
          <w:szCs w:val="36"/>
          <w:u w:val="none"/>
          <w:shd w:val="clear" w:color="auto" w:fill="FFFFFF"/>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51" w:name="_GoBack"/>
      <w:bookmarkEnd w:id="51"/>
    </w:p>
    <w:p w14:paraId="1D63B9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黑体" w:hAnsi="黑体" w:eastAsia="黑体" w:cs="黑体"/>
          <w:b/>
          <w:bCs/>
          <w:i w:val="0"/>
          <w:iCs w:val="0"/>
          <w:caps w:val="0"/>
          <w:color w:val="auto"/>
          <w:spacing w:val="0"/>
          <w:sz w:val="36"/>
          <w:szCs w:val="36"/>
          <w:u w:val="none"/>
          <w:shd w:val="clear" w:color="auto" w:fill="FFFFFF"/>
          <w:lang w:val="en-US" w:eastAsia="zh-CN"/>
        </w:rPr>
      </w:pPr>
      <w:r>
        <w:rPr>
          <w:rFonts w:hint="eastAsia" w:ascii="黑体" w:hAnsi="黑体" w:eastAsia="黑体" w:cs="黑体"/>
          <w:b/>
          <w:bCs/>
          <w:i w:val="0"/>
          <w:iCs w:val="0"/>
          <w:caps w:val="0"/>
          <w:color w:val="auto"/>
          <w:spacing w:val="0"/>
          <w:sz w:val="36"/>
          <w:szCs w:val="36"/>
          <w:u w:val="none"/>
          <w:shd w:val="clear" w:color="auto" w:fill="FFFFFF"/>
          <w:lang w:val="en-US" w:eastAsia="zh-CN"/>
        </w:rPr>
        <w:t>第三编 院校教师队伍管理</w:t>
      </w:r>
      <w:bookmarkEnd w:id="3"/>
    </w:p>
    <w:p w14:paraId="697487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bookmarkStart w:id="4" w:name="_Toc15497"/>
      <w:bookmarkStart w:id="5" w:name="_Toc4979"/>
      <w:r>
        <w:rPr>
          <w:rFonts w:hint="eastAsia" w:ascii="宋体" w:hAnsi="宋体" w:eastAsia="宋体" w:cs="宋体"/>
          <w:b/>
          <w:bCs/>
          <w:i w:val="0"/>
          <w:iCs w:val="0"/>
          <w:caps w:val="0"/>
          <w:color w:val="auto"/>
          <w:spacing w:val="0"/>
          <w:sz w:val="36"/>
          <w:szCs w:val="36"/>
          <w:u w:val="none"/>
          <w:shd w:val="clear" w:color="auto" w:fill="FFFFFF"/>
        </w:rPr>
        <w:t>普通高等学校辅导员队伍建设规定</w:t>
      </w:r>
      <w:bookmarkEnd w:id="4"/>
      <w:bookmarkEnd w:id="5"/>
    </w:p>
    <w:p w14:paraId="5EEAB92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第一章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总则</w:t>
      </w:r>
    </w:p>
    <w:p w14:paraId="1F144D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为深入贯彻落实全国高校思想政治工作会议精神和《中共中央 国务院关于加强和改进新形势下高校思想政治工作的意见》，切实加强高等学校辅导员队伍专业化职业化建设，依据《高等教育法》等有关法律法规，制定本规定。</w:t>
      </w:r>
    </w:p>
    <w:p w14:paraId="36B14F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辅导员是开展大学生思想政治教育的骨干力量，是高等学校学生日常思想政治教育和管理工作的组织者、实施者、指导者。辅导员应当努力成为学生成长成才的人生导师和健康生活的知心朋友。</w:t>
      </w:r>
    </w:p>
    <w:p w14:paraId="2E3F7A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第三条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要坚持把立德树人作为中心环节，把辅导员队伍建设作为教师队伍和管理队伍建设的重要内容，整体规划、统筹安排，不断提高队伍的专业水平和职业能力，保证辅导员工作有条件、干事有平台、待遇有保障、发展有空间。</w:t>
      </w:r>
    </w:p>
    <w:p w14:paraId="39775B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第二章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要求与职责</w:t>
      </w:r>
    </w:p>
    <w:p w14:paraId="4C0E61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辅导员工作的要求是：恪守爱国守法、敬业爱生、育人为本、终身学习、为人师表的职业守则；围绕学生、关照学生、服务学生，把握学生成长规律，不断提高学生思想水平、政治觉悟、道德品质、文化素养；引导学生正确认识世界和中国发展大势、正确认识中国特色和国际比较、正确认识时代责任和历史使命、正确认识远大抱负和脚踏实地，成为又红又专、德才兼备、全面发展的中国特色社会主义合格建设者和可靠接班人。</w:t>
      </w:r>
    </w:p>
    <w:p w14:paraId="37B0A4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辅导员的主要工作职责是：</w:t>
      </w:r>
    </w:p>
    <w:p w14:paraId="5E2BFE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思想理论教育和价值引领。引导学生深入学习习近平总书记系列重要讲话精神和治国理政新理念新思想新战略，深入开展中国特色社会主义、中国梦宣传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14:paraId="76CF93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（二）党团和班级建设。开展学生骨干的遴选、培养、激励工作，开展学生入党积极分子培养教育工作，开展学生党员发展和教育管理服务工作，指导学生党支部和班团组织建设。</w:t>
      </w:r>
    </w:p>
    <w:p w14:paraId="0930FD9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（三）学风建设。熟悉了解学生所学专业的基本情况，激发学生学习兴趣，引导学生养成良好的学习习惯，掌握正确的学习方法。指导学生开展课外科技学术实践活动，营造浓厚学习氛围。</w:t>
      </w:r>
    </w:p>
    <w:p w14:paraId="458A914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学生日常事务管理。开展入学教育、毕业生教育及相关管理和服务工作。组织开展学生军事训练。组织评选各类奖学金、助学金。指导学生办理助学贷款。组织学生开展勤工俭学活动，做好学生困难帮扶。为学生提供生活指导，促进学生和谐相处、互帮互助。</w:t>
      </w:r>
    </w:p>
    <w:p w14:paraId="470D0B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（五）心理健康教育与咨询工作。协助学校心理健康教育机构开展心理健康教育，对学生心理问题进行初步排查和疏导，组织开展心理健康知识普及宣传活动，培育学生理性平和、乐观向上的健康心态。</w:t>
      </w:r>
    </w:p>
    <w:p w14:paraId="4469F5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14:paraId="20FF914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七）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p>
    <w:p w14:paraId="268E9EE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（八）职业规划与就业创业指导。为学生提供科学的职业生涯规划和就业指导以及相关服务，帮助学生树立正确的就业观念，引导学生到基层、到西部、到祖国最需要的地方建功立业。</w:t>
      </w:r>
    </w:p>
    <w:p w14:paraId="68A68F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（九）理论和实践研究。努力学习思想政治教育的基本理论和相关学科知识，参加相关学科领域学术交流活动，参与校内外思想政治教育课题或项目研究。</w:t>
      </w:r>
    </w:p>
    <w:p w14:paraId="50DD7D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第三章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配备与选聘</w:t>
      </w:r>
    </w:p>
    <w:p w14:paraId="3A5E25E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高等学校应当按总体上师生比不低于1:200的比例设置专职辅导员岗位，按照专兼结合、以专为主的原则，足额配备到位。</w:t>
      </w:r>
    </w:p>
    <w:p w14:paraId="200D188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专职辅导员是指在院（系）专职从事大学生日常思想政治教育工作的人员，包括院（系）党委（党总支）副书记、学工组长、团委（团总支）书记等专职工作人员，具有教师和管理人员双重身份。高等学校应参照专任教师聘任的待遇和保障，与专职辅导员建立人事聘用关系。</w:t>
      </w:r>
    </w:p>
    <w:p w14:paraId="08BBC3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高等学校可以从优秀专任教师、管理人员、研究生中选聘一定数量兼职辅导员。兼职辅导员工作量按专职辅导员工作量的三分之一核定。</w:t>
      </w:r>
    </w:p>
    <w:p w14:paraId="767008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第七条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辅导员应当符合以下基本条件：</w:t>
      </w:r>
    </w:p>
    <w:p w14:paraId="0931FE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（一）具有较高的政治素质和坚定的理想信念，坚决贯彻执行党的基本路线和各项方针政策，有较强的政治敏感性和政治辨别力；</w:t>
      </w:r>
    </w:p>
    <w:p w14:paraId="4DDBA54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（二）具备本科以上学历，热爱大学生思想政治教育事业，甘于奉献，潜心育人，具有强烈的事业心和责任感；</w:t>
      </w:r>
    </w:p>
    <w:p w14:paraId="599DD5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14:paraId="659671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（四）具备较强的组织管理能力和语言、文字表达能力，及教育引导能力、调查研究能力，具备开展思想理论教育和价值引领工作的能力；</w:t>
      </w:r>
    </w:p>
    <w:p w14:paraId="732BBCF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（五）具有较强的纪律观念和规矩意识，遵纪守法，为人正直，作风正派，廉洁自律。</w:t>
      </w:r>
    </w:p>
    <w:p w14:paraId="6C4E6B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第八条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辅导员选聘工作要在高等学校党委统一领导下进行，由学生工作部门、组织、人事、纪检等相关部门共同组织开展。根据辅导员基本条件要求和实际岗位需要，确定具体选拔条件，通过组织推荐和公开招聘相结合的方式，经过笔试、面试、公示等相关程序进行选拔。</w:t>
      </w:r>
    </w:p>
    <w:p w14:paraId="24486E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241" w:firstLineChars="1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青年教师晋升高一级专业技术职务（职称），须有至少一年担任辅导员或班主任工作经历并考核合格。高等学校要鼓励新入职教师以多种形式参与辅导员或班主任工作。</w:t>
      </w:r>
    </w:p>
    <w:p w14:paraId="213920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第四章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发展与培训</w:t>
      </w:r>
    </w:p>
    <w:p w14:paraId="1227E8E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高等学校应当制定专门办法和激励保障机制，落实专职辅导员职务职级“双线”晋升要求，推动辅导员队伍专业化职业化建设。</w:t>
      </w:r>
    </w:p>
    <w:p w14:paraId="79BF41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第十一条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高等学校应当结合实际，按专任教师职务岗位结构比例合理设置专职辅导员的相应教师职务岗位，专职辅导员可按教师职务（职称）要求评聘思想政治教育学科或其他相关学科的专业技术职务（职称）。</w:t>
      </w:r>
    </w:p>
    <w:p w14:paraId="6E2BBA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专职辅导员专业技术职务（职称）评聘应更加注重考察工作业绩和育人实效，单列计划、单设标准、单独评审。将优秀网络文化成果纳入专职辅导员的科研成果统计、职务（职称）评聘范围。</w:t>
      </w:r>
    </w:p>
    <w:p w14:paraId="61BADC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可以成立专职辅导员专业技术职务（职称）聘任委员会，具体负责本校专职辅导员专业技术职务（职称）聘任工作。聘任委员会一般应由学校党委有关负责人、学生工作、组织人事、教学科研部门负责人、相关学科专家等人员组成。</w:t>
      </w:r>
    </w:p>
    <w:p w14:paraId="4E9E2B1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第十三条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高等学校应当制定辅导员管理岗位聘任办法，根据辅导员的任职年限及实际工作表现，确定相应级别的管理岗位等级。</w:t>
      </w:r>
    </w:p>
    <w:p w14:paraId="5A5290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第十四条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辅导员培训应当纳入高等学校师资队伍和干部队伍培训整体规划。</w:t>
      </w:r>
    </w:p>
    <w:p w14:paraId="7FB34A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建立国家、省级和高等学校三级辅导员培训体系。教育部设立高等学校辅导员培训和研修基地，开展国家级示范培训。省级教育部门应当根据区域内现有高等学校辅导员规模数量设立辅导员培训专项经费，建立辅导员培训和研修基地，承担所在区域内高等学校辅导员的岗前培训、日常培训和骨干培训。高等学校负责对本校辅导员的系统培训，确保每名专职辅导员每年参加不少于16个学时的校级培训，每5年参加1次国家级或省级培训。</w:t>
      </w:r>
    </w:p>
    <w:p w14:paraId="2448A0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241" w:firstLineChars="1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第十五条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省级教育部门、高等学校要积极选拔优秀辅导员参加国内国际交流学习和研修深造，创造条件支持辅导员到地方党政机关、企业、基层等挂职锻炼，支持辅导员结合大学生思想政治教育的工作实践和思想政治教育学科的发展开展研究。高等学校要鼓励辅导员在做好工作的基础上攻读相关专业学位，承担思想政治理论课等相关课程的教学工作，为辅导员提升专业水平和科研能力提供条件保障。</w:t>
      </w:r>
    </w:p>
    <w:p w14:paraId="0569D5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第十六条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高等学校要积极为辅导员的工作和生活创造便利条件，应根据辅导员的工作特点，在岗位津贴、办公条件、通讯经费等方面制定相关政策，为辅导员的工作和生活提供必要保障。</w:t>
      </w:r>
    </w:p>
    <w:p w14:paraId="7DEC4BC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第五章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管理与考核</w:t>
      </w:r>
    </w:p>
    <w:p w14:paraId="29FBBB2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第十七条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高等学校辅导员实行学校和院（系）双重管理。</w:t>
      </w:r>
    </w:p>
    <w:p w14:paraId="13D1BA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学生工作部门牵头负责辅导员的培养、培训和考核等工作，同时要与院（系）党委（党总支）共同做好辅导员日常管理工作。院（系）党委（党总支）负责对辅导员进行直接领导和管理。</w:t>
      </w:r>
    </w:p>
    <w:p w14:paraId="7E7E02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第十八条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要根据辅导员职业能力标准，制定辅导员工作考核的具体办法，健全辅导员队伍的考核评价体系。对辅导员的考核评价应由学生工作部门牵头，组织人事部门、院（系）党委（党总支）和学生共同参与。考核结果与辅导员的职务聘任、奖惩、晋级等挂钩。</w:t>
      </w:r>
    </w:p>
    <w:p w14:paraId="613207C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b/>
          <w:bCs/>
          <w:i w:val="0"/>
          <w:iCs w:val="0"/>
          <w:caps w:val="0"/>
          <w:color w:val="auto"/>
          <w:spacing w:val="0"/>
          <w:sz w:val="24"/>
          <w:szCs w:val="24"/>
          <w:shd w:val="clear" w:color="auto" w:fill="FFFFFF"/>
        </w:rPr>
        <w:t>第十九条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教育部在全国教育系统先进集体和先进个人表彰中对高校优秀辅导员进行表彰。各地教育部门和高等学校要结合实际情况建立辅导员单独表彰体系并将优秀辅导员表彰奖励纳入各级教师、教育工作者表彰奖励体系中。</w:t>
      </w:r>
    </w:p>
    <w:p w14:paraId="0CA7E5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第六章</w:t>
      </w:r>
      <w:r>
        <w:rPr>
          <w:rFonts w:hint="eastAsia" w:ascii="黑体" w:hAnsi="黑体" w:eastAsia="黑体" w:cs="黑体"/>
          <w:b/>
          <w:bCs/>
          <w:i w:val="0"/>
          <w:iCs w:val="0"/>
          <w:caps w:val="0"/>
          <w:color w:val="auto"/>
          <w:spacing w:val="0"/>
          <w:sz w:val="24"/>
          <w:szCs w:val="24"/>
          <w:shd w:val="clear" w:color="auto" w:fill="FFFFFF"/>
          <w:lang w:val="en-US" w:eastAsia="zh-CN"/>
        </w:rPr>
        <w:t xml:space="preserve"> </w:t>
      </w:r>
      <w:r>
        <w:rPr>
          <w:rFonts w:hint="eastAsia" w:ascii="黑体" w:hAnsi="黑体" w:eastAsia="黑体" w:cs="黑体"/>
          <w:b/>
          <w:bCs/>
          <w:i w:val="0"/>
          <w:iCs w:val="0"/>
          <w:caps w:val="0"/>
          <w:color w:val="auto"/>
          <w:spacing w:val="0"/>
          <w:sz w:val="24"/>
          <w:szCs w:val="24"/>
          <w:shd w:val="clear" w:color="auto" w:fill="FFFFFF"/>
        </w:rPr>
        <w:t>附则</w:t>
      </w:r>
    </w:p>
    <w:p w14:paraId="323793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本规定适用于普通高等学校辅导员队伍建设。其他类型高等学校的辅导员队伍建设或思想政治工作其他队伍建设可以参照本规定执行。</w:t>
      </w:r>
    </w:p>
    <w:p w14:paraId="51755F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第二十一条</w:t>
      </w:r>
      <w:r>
        <w:rPr>
          <w:rFonts w:hint="eastAsia" w:ascii="仿宋" w:hAnsi="仿宋" w:eastAsia="仿宋" w:cs="仿宋"/>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高等学校要根据本规定，结合实际制定相关实施细则，并报主管教育部门备案。</w:t>
      </w:r>
    </w:p>
    <w:p w14:paraId="60643D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sz w:val="24"/>
          <w:szCs w:val="24"/>
          <w:shd w:val="clear" w:color="auto" w:fill="FFFFFF"/>
        </w:rPr>
        <w:t>第二十二条</w:t>
      </w:r>
      <w:r>
        <w:rPr>
          <w:rFonts w:hint="eastAsia" w:ascii="仿宋" w:hAnsi="仿宋" w:eastAsia="仿宋" w:cs="仿宋"/>
          <w:b/>
          <w:bCs/>
          <w:i w:val="0"/>
          <w:iCs w:val="0"/>
          <w:caps w:val="0"/>
          <w:color w:val="auto"/>
          <w:spacing w:val="0"/>
          <w:sz w:val="24"/>
          <w:szCs w:val="24"/>
          <w:shd w:val="clear" w:color="auto" w:fill="FFFFFF"/>
          <w:lang w:val="en-US" w:eastAsia="zh-CN"/>
        </w:rPr>
        <w:t xml:space="preserve"> </w:t>
      </w:r>
      <w:r>
        <w:rPr>
          <w:rFonts w:hint="eastAsia" w:ascii="仿宋" w:hAnsi="仿宋" w:eastAsia="仿宋" w:cs="仿宋"/>
          <w:i w:val="0"/>
          <w:iCs w:val="0"/>
          <w:caps w:val="0"/>
          <w:color w:val="auto"/>
          <w:spacing w:val="0"/>
          <w:sz w:val="24"/>
          <w:szCs w:val="24"/>
          <w:shd w:val="clear" w:color="auto" w:fill="FFFFFF"/>
        </w:rPr>
        <w:t>本规定自2017年10月1日起施行。原《普通高等学校辅导员队伍建设规定》同时废止。</w:t>
      </w:r>
    </w:p>
    <w:p w14:paraId="2D2BB6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仿宋" w:hAnsi="仿宋" w:eastAsia="仿宋" w:cs="仿宋"/>
          <w:color w:val="auto"/>
          <w:sz w:val="24"/>
          <w:szCs w:val="24"/>
        </w:rPr>
        <w:br w:type="page"/>
      </w:r>
      <w:bookmarkStart w:id="6" w:name="_Toc25895"/>
      <w:bookmarkStart w:id="7" w:name="_Toc6239"/>
      <w:r>
        <w:rPr>
          <w:rFonts w:hint="eastAsia" w:ascii="宋体" w:hAnsi="宋体" w:eastAsia="宋体" w:cs="宋体"/>
          <w:b/>
          <w:bCs/>
          <w:i w:val="0"/>
          <w:iCs w:val="0"/>
          <w:caps w:val="0"/>
          <w:color w:val="auto"/>
          <w:spacing w:val="0"/>
          <w:sz w:val="36"/>
          <w:szCs w:val="36"/>
          <w:u w:val="none"/>
          <w:shd w:val="clear" w:color="auto" w:fill="FFFFFF"/>
        </w:rPr>
        <w:t>关于分类推进人才评价机制改革的指导意见</w:t>
      </w:r>
      <w:bookmarkEnd w:id="6"/>
      <w:bookmarkEnd w:id="7"/>
    </w:p>
    <w:p w14:paraId="1C1AAD9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人才评价是人才发展体制机制的重要组成部分，是人才资源开发管理和使用的前提。建立科学的人才分类评价机制，对于树立正确用人导向、激励引导人才职业发展、调动人才创新创业积极性、加快建设人才强国具有重要作用。当前，我国人才评价机制仍存在分类评价不足、评价标准单一、评价手段趋同、评价社会化程度不高、用人主体自主权落实不够等突出问题，亟需通过深化改革加以解决。为深入贯彻落实《中共中央印发</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关于深化人才发展体制机制改革的意见</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的通知》，创新人才评价机制，发挥人才评价指挥棒作用，现就分类推进人才评价机制改革提出如下意见。</w:t>
      </w:r>
    </w:p>
    <w:p w14:paraId="65DCB99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一、总体要求和基本原则</w:t>
      </w:r>
    </w:p>
    <w:p w14:paraId="2A1EADF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一</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总体要求。</w:t>
      </w:r>
      <w:r>
        <w:rPr>
          <w:rFonts w:hint="eastAsia" w:ascii="仿宋" w:hAnsi="仿宋" w:eastAsia="仿宋" w:cs="仿宋"/>
          <w:i w:val="0"/>
          <w:iCs w:val="0"/>
          <w:caps w:val="0"/>
          <w:color w:val="auto"/>
          <w:spacing w:val="0"/>
          <w:sz w:val="24"/>
          <w:szCs w:val="24"/>
        </w:rPr>
        <w:t>全面贯彻党的十九大精神，以习近平新时代中国特色社会主义思想为指导，认真落实党中央、国务院决策部署，按照统筹推进“五位一体”总体布局和协调推进“四个全面”战略布局要求，落实新发展理念，围绕实施人才强国战略和创新驱动发展战略，以科学分类为基础，以激发人才创新创业活力为目的，加快形成导向明确、精准科学、规范有序、竞争择优的科学化社会化市场化人才评价机制，建立与中国特色社会主义制度相适应的人才评价制度，努力形成人人渴望成才、人人努力成才、人人皆可成才、人人尽展其才的良好局面，使优秀人才脱颖而出。</w:t>
      </w:r>
    </w:p>
    <w:p w14:paraId="5A0EA2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二</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基本原则</w:t>
      </w:r>
    </w:p>
    <w:p w14:paraId="37EF62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党管人才原则。充分发挥党的思想政治优势、组织优势、密切联系群众优势，进一步加强党对人才评价工作的领导，将改革完善人才评价机制作为人才工作的重要内容，在全社会大兴识才爱才敬才用才容才聚才之风，把各方面优秀人才集聚到党和人民的伟大奋斗中来。</w:t>
      </w:r>
    </w:p>
    <w:p w14:paraId="650F7D1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——坚持服务发展。围绕经济社会发展和人才发展需求，充分发挥人才评价正向激励作用，推动多出人才、出好人才，最大限度激发和释放人才创新创业活力，促进人才发展与经济社会发展深度融合。</w:t>
      </w:r>
    </w:p>
    <w:p w14:paraId="7083A5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——坚持科学公正。遵循人才成长规律，突出品德、能力和业绩评价导向，分类建立体现不同职业、不同岗位、不同层次人才特点的评价机制，科学客观公正评价人才，让各类人才价值得到充分尊重和体现。</w:t>
      </w:r>
    </w:p>
    <w:p w14:paraId="776330C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坚持改革创新。围绕用好用活人才，着力破除思想障碍和制度藩篱，加快转变政府职能，保障落实用人主体自主权，发挥政府、市场、专业组织、用人单位等多元评价主体作用，营造有利于人才成长和发挥作用的评价制度环境。</w:t>
      </w:r>
    </w:p>
    <w:p w14:paraId="6C5019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黑体" w:hAnsi="黑体" w:eastAsia="黑体" w:cs="黑体"/>
          <w:b/>
          <w:bCs/>
          <w:i w:val="0"/>
          <w:iCs w:val="0"/>
          <w:caps w:val="0"/>
          <w:color w:val="auto"/>
          <w:spacing w:val="0"/>
          <w:sz w:val="24"/>
          <w:szCs w:val="24"/>
        </w:rPr>
        <w:t>二、分类健全人才评价标准</w:t>
      </w:r>
    </w:p>
    <w:p w14:paraId="41618A5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三</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实行分类评价。</w:t>
      </w:r>
      <w:r>
        <w:rPr>
          <w:rFonts w:hint="eastAsia" w:ascii="仿宋" w:hAnsi="仿宋" w:eastAsia="仿宋" w:cs="仿宋"/>
          <w:i w:val="0"/>
          <w:iCs w:val="0"/>
          <w:caps w:val="0"/>
          <w:color w:val="auto"/>
          <w:spacing w:val="0"/>
          <w:sz w:val="24"/>
          <w:szCs w:val="24"/>
        </w:rPr>
        <w:t>以职业属性和岗位要求为基础，健全科学的人才分类评价体系。根据不同职业、不同岗位、不同层次人才特点和职责，坚持共通性与特殊性、水平业绩与发展潜力、定性与定量评价相结合，分类建立健全涵盖品德、知识、能力、业绩和贡献等要素，科学合理、各有侧重的人才评价标准。加快新兴职业领域人才评价标准开发工作。建立评价标准动态更新调整机制。</w:t>
      </w:r>
    </w:p>
    <w:p w14:paraId="3604F2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四</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突出品德评价。</w:t>
      </w:r>
      <w:r>
        <w:rPr>
          <w:rFonts w:hint="eastAsia" w:ascii="仿宋" w:hAnsi="仿宋" w:eastAsia="仿宋" w:cs="仿宋"/>
          <w:i w:val="0"/>
          <w:iCs w:val="0"/>
          <w:caps w:val="0"/>
          <w:color w:val="auto"/>
          <w:spacing w:val="0"/>
          <w:sz w:val="24"/>
          <w:szCs w:val="24"/>
        </w:rPr>
        <w:t>坚持德才兼备，把品德作为人才评价的首要内容，加强对人才科学精神、职业道德、从业操守等评价考核，倡导诚实守信，强化社会责任，抵制心浮气躁、急功近利等不良风气，从严治理弄虚作假和学术不端行为。完善人才评价诚信体系，建立诚信守诺、失信行为记录和惩戒制度。探索建立基于道德操守和诚信情况的评价退出机制。</w:t>
      </w:r>
    </w:p>
    <w:p w14:paraId="7E6D42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1"/>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五</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科学设置评价标准。</w:t>
      </w:r>
      <w:r>
        <w:rPr>
          <w:rFonts w:hint="eastAsia" w:ascii="仿宋" w:hAnsi="仿宋" w:eastAsia="仿宋" w:cs="仿宋"/>
          <w:i w:val="0"/>
          <w:iCs w:val="0"/>
          <w:caps w:val="0"/>
          <w:color w:val="auto"/>
          <w:spacing w:val="0"/>
          <w:sz w:val="24"/>
          <w:szCs w:val="24"/>
        </w:rPr>
        <w:t>坚持凭能力、实绩、贡献评价人才，克服唯学历、唯资历、唯论文等倾向，注重考察各类人才的专业性、创新性和履责绩效、创新成果、实际贡献。着力解决评价标准“一刀切”问题，合理设置和使用论文、专著、影响因子等评价指标，实行差别化评价，鼓励人才在不同领域、不同岗位作出贡献、追求卓越。</w:t>
      </w:r>
    </w:p>
    <w:p w14:paraId="1CD4915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三、改进和创新人才评价方式</w:t>
      </w:r>
    </w:p>
    <w:p w14:paraId="11B2CD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六</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创新多元评价方式。</w:t>
      </w:r>
      <w:r>
        <w:rPr>
          <w:rFonts w:hint="eastAsia" w:ascii="仿宋" w:hAnsi="仿宋" w:eastAsia="仿宋" w:cs="仿宋"/>
          <w:i w:val="0"/>
          <w:iCs w:val="0"/>
          <w:caps w:val="0"/>
          <w:color w:val="auto"/>
          <w:spacing w:val="0"/>
          <w:sz w:val="24"/>
          <w:szCs w:val="24"/>
        </w:rPr>
        <w:t>按照社会和业内认可的要求，建立以同行评价为基础的业内评价机制，注重引入市场评价和社会评价，发挥多元评价主体作用。基础研究人才以同行学术评价为主，加强国际同行评价。应用研究和技术开发人才突出市场评价，由用户、市场和专家等相关第三方评价。哲学社会科学人才评价重在同行认可和社会效益。丰富评价手段，科学灵活采用考试、评审、考评结合、考核认定、个人述职、面试答辩、实践操作、业绩展示等不同方式，提高评价的针对性和精准性。</w:t>
      </w:r>
    </w:p>
    <w:p w14:paraId="640C9C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七</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科学设置人才评价周期。</w:t>
      </w:r>
      <w:r>
        <w:rPr>
          <w:rFonts w:hint="eastAsia" w:ascii="仿宋" w:hAnsi="仿宋" w:eastAsia="仿宋" w:cs="仿宋"/>
          <w:i w:val="0"/>
          <w:iCs w:val="0"/>
          <w:caps w:val="0"/>
          <w:color w:val="auto"/>
          <w:spacing w:val="0"/>
          <w:sz w:val="24"/>
          <w:szCs w:val="24"/>
        </w:rPr>
        <w:t>遵循不同类型人才成长发展规律，科学合理设置评价考核周期，注重过程评价和结果评价、短期评价和长期评价相结合，克服评价考核过于频繁的倾向。探索实施聘期评价制度。突出中长期目标导向，适当延长基础研究人才、青年人才等评价考核周期，鼓励持续研究和长期积累。</w:t>
      </w:r>
    </w:p>
    <w:p w14:paraId="6343D6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八</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畅通人才评价渠道。</w:t>
      </w:r>
      <w:r>
        <w:rPr>
          <w:rFonts w:hint="eastAsia" w:ascii="仿宋" w:hAnsi="仿宋" w:eastAsia="仿宋" w:cs="仿宋"/>
          <w:i w:val="0"/>
          <w:iCs w:val="0"/>
          <w:caps w:val="0"/>
          <w:color w:val="auto"/>
          <w:spacing w:val="0"/>
          <w:sz w:val="24"/>
          <w:szCs w:val="24"/>
        </w:rPr>
        <w:t>进一步打破户籍、地域、所有制、身份、人事关系等限制，依托具备条件的行业协会、专业学会、公共人才服务机构等，畅通非公有制经济组织、社会组织和新兴职业等领域人才申报评价渠道。对引进的海外高层次人才和急需紧缺人才，建立评价绿色通道。完善外籍人才、港澳台人才申报评价办法。</w:t>
      </w:r>
    </w:p>
    <w:p w14:paraId="4EC13BD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九</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促进人才评价和项目评审、机构评估有机衔接。</w:t>
      </w:r>
      <w:r>
        <w:rPr>
          <w:rFonts w:hint="eastAsia" w:ascii="仿宋" w:hAnsi="仿宋" w:eastAsia="仿宋" w:cs="仿宋"/>
          <w:i w:val="0"/>
          <w:iCs w:val="0"/>
          <w:caps w:val="0"/>
          <w:color w:val="auto"/>
          <w:spacing w:val="0"/>
          <w:sz w:val="24"/>
          <w:szCs w:val="24"/>
        </w:rPr>
        <w:t>按照既出成果、又出人才的要求，在各类工程项目、科技计划、机构平台等评审评估中加强人才评价，完善在重大科研、工程项目实施、急难险重工作中评价、识别人才机制。深入推进项目评审、人才评价、机构评估改革，树立正确评价导向，进一步精简整合、取消下放、优化布局评审事项，简化评审环节，改进评审方式，减轻人才负担。避免简单通过各类人才计划头衔评价人才。加强评价结果共享，避免多头、频繁、重复评价人才。</w:t>
      </w:r>
    </w:p>
    <w:p w14:paraId="1827B0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四、加快推进重点领域人才评价改革</w:t>
      </w:r>
    </w:p>
    <w:p w14:paraId="057F2C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十</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改革科技人才评价制度。</w:t>
      </w:r>
      <w:r>
        <w:rPr>
          <w:rFonts w:hint="eastAsia" w:ascii="仿宋" w:hAnsi="仿宋" w:eastAsia="仿宋" w:cs="仿宋"/>
          <w:i w:val="0"/>
          <w:iCs w:val="0"/>
          <w:caps w:val="0"/>
          <w:color w:val="auto"/>
          <w:spacing w:val="0"/>
          <w:sz w:val="24"/>
          <w:szCs w:val="24"/>
        </w:rPr>
        <w:t>围绕建设创新型国家和世界科技强国目标，结合科技体制改革，建立健全以科研诚信为基础，以创新能力、质量、贡献、绩效为导向的科技人才评价体系。对主要从事基础研究的人才，着重评价其提出和解决重大科学问题的原创能力、成果的科学价值、学术水平和影响等。对主要从事应用研究和技术开发的人才，着重评价其技术创新与集成能力、取得的自主知识产权和重大技术突破、成果转化、对产业发展的实际贡献等。对从事社会公益研究、科技管理服务和实验技术的人才，重在评价考核工作绩效，引导其提高服务水平和技术支持能力。</w:t>
      </w:r>
    </w:p>
    <w:p w14:paraId="23F44E9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实行代表性成果评价，突出评价研究成果质量、原创价值和对经济社会发展实际贡献。改变片面将论文、专利、项目、经费数量等与科技人才评价直接挂钩的做法，建立并实施有利于科技人才潜心研究和创新的评价制度。</w:t>
      </w:r>
    </w:p>
    <w:p w14:paraId="5F07AA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注重个人评价与团队评价相结合。适应科技协同创新和跨学科、跨领域发展等特点，进一步完善科技创新团队评价办法，实行以合作解决重大科技问题为重点的整体性评价。对创新团队负责人以把握研究发展方向、学术造诣水平、组织协调和团队建设等为评价重点。尊重认可团队所有参与者的实际贡献，杜绝无实质贡献的虚假挂名。</w:t>
      </w:r>
    </w:p>
    <w:p w14:paraId="7F4C695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十一</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科学评价哲学社会科学和文化艺术人才。</w:t>
      </w:r>
      <w:r>
        <w:rPr>
          <w:rFonts w:hint="eastAsia" w:ascii="仿宋" w:hAnsi="仿宋" w:eastAsia="仿宋" w:cs="仿宋"/>
          <w:i w:val="0"/>
          <w:iCs w:val="0"/>
          <w:caps w:val="0"/>
          <w:color w:val="auto"/>
          <w:spacing w:val="0"/>
          <w:sz w:val="24"/>
          <w:szCs w:val="24"/>
        </w:rPr>
        <w:t>坚持马克思主义指导地位、为人民做学问的研究立场、以人民为中心的创作导向，注重政治标准和学术标准、继承性和民族性、原创性和时代性、系统性和专业性相统一，建立健全中国特色的哲学社会科学和文化艺术人才评价体系，推进中国特色哲学社会科学学科体系、学术体系、话语体系建设，推出更多无愧于民族、无愧于时代的文艺精品。</w:t>
      </w:r>
    </w:p>
    <w:p w14:paraId="2937DC6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根据人文科学、社会科学、文化艺术等不同学科领域，理论研究、应用对策研究、艺术表演创作等不同类型，对其人才实行分类评价。对主要从事理论研究的人才，重点评价其在推动理论创新、传承文明、学科建设等方面的能力贡献。对主要从事应用对策研究的人才，重点评价其围绕统筹推进“五位一体”总体布局和协调推进“四个全面”战略布局，为党和政府决策提供服务支撑的能力业绩。对主要从事艺术表演创作的人才，重点评价其在艺术表演、作品创作、满足人民精神文化需求等方面的能力业绩。突出成果的研究质量、内容创新和社会效益，推行理论文章、决策咨询研究报告、建言献策成果、优秀网络文章、艺术创作作品等与论文、专著等效评价。</w:t>
      </w:r>
    </w:p>
    <w:p w14:paraId="259B7E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十二</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健全教育人才评价体系。</w:t>
      </w:r>
      <w:r>
        <w:rPr>
          <w:rFonts w:hint="eastAsia" w:ascii="仿宋" w:hAnsi="仿宋" w:eastAsia="仿宋" w:cs="仿宋"/>
          <w:i w:val="0"/>
          <w:iCs w:val="0"/>
          <w:caps w:val="0"/>
          <w:color w:val="auto"/>
          <w:spacing w:val="0"/>
          <w:sz w:val="24"/>
          <w:szCs w:val="24"/>
        </w:rPr>
        <w:t>坚持立德树人，把教书育人作为教育人才评价的核心内容。深化高校教师评价制度改革，坚持社会主义办学方向，坚持思想政治素质和业务能力双重考察、全面考核和突出重点相结合，注重对师德师风、教育教学、科学研究、社会服务、专业发展的综合评价。坚持分类指导和分层次评价相结合，根据不同类型高校、不同岗位教师的职责特点，分类分层次分学科设置评价内容和评价方式。突出教育教学业绩评价，将人才培养中心任务落到实处，要求所有教师都必须承担教育教学工作，建立健全教学工作量评价标准，落实教授为本专科生授课制度，加强教学质量和课堂教学纪律考核。</w:t>
      </w:r>
    </w:p>
    <w:p w14:paraId="6CE8F0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适应现代职业教育发展需要，按照兼备专业理论知识和技能操作实践能力的要求，完善职业院校</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含技工院校</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“双师型”教师评价标准，吸纳行业、企业作为评价参与主体，重点评价其职业素养、专业教学能力和生产一线实践经验。</w:t>
      </w:r>
    </w:p>
    <w:p w14:paraId="0DC22C5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适应中小学素质教育和课程改革新要求，建立充分体现中小学教师岗位特点的评价标准，重点评价其教育教学方法、教书育人工作业绩和一线实践经历。严禁简单用学生升学率和考试成绩评价中小学教师。</w:t>
      </w:r>
    </w:p>
    <w:p w14:paraId="6ED642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十三</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改进医疗卫生人才评价制度。</w:t>
      </w:r>
      <w:r>
        <w:rPr>
          <w:rFonts w:hint="eastAsia" w:ascii="仿宋" w:hAnsi="仿宋" w:eastAsia="仿宋" w:cs="仿宋"/>
          <w:i w:val="0"/>
          <w:iCs w:val="0"/>
          <w:caps w:val="0"/>
          <w:color w:val="auto"/>
          <w:spacing w:val="0"/>
          <w:sz w:val="24"/>
          <w:szCs w:val="24"/>
        </w:rPr>
        <w:t>强化医疗卫生人才临床实践能力评价，完善涵盖医德医风、临床实践、科研带教、公共卫生服务等要素的评价指标体系，合理确定不同医疗卫生机构、不同专业岗位人才评价重点。对主要从事临床工作的人才，重点考察其临床医疗医技水平、实践操作能力和工作业绩，引入临床病历、诊治方案等作为评价依据。对主要从事科研工作的人才，重点考察其创新能力业绩，突出创新成果的转化应用能力。对主要从事疾病预防控制等的公共卫生人才，重点考察其流行病学调查、传染病疫情和突发公共卫生事件处置、疾病及危害因素监测与评价等能力。</w:t>
      </w:r>
    </w:p>
    <w:p w14:paraId="0D2D13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建立符合全科医生岗位特点的评价机制，考核其掌握全科医学基本理论知识、常见病多发病诊疗、预防保健和提供基本公共卫生服务的能力，将签约居民数量、接诊量、服务质量、群众满意度作为重要评价因素。</w:t>
      </w:r>
    </w:p>
    <w:p w14:paraId="4E08E89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按照强基层、保基本及分级诊疗要求，建立更加注重临床水平、服务质量、工作业绩的基层医疗卫生人才评价机制，鼓励医疗卫生人才服务基层，更好满足基层人民群众健康需求。</w:t>
      </w:r>
    </w:p>
    <w:p w14:paraId="56C83F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十四</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创新技术技能人才评价制度。</w:t>
      </w:r>
      <w:r>
        <w:rPr>
          <w:rFonts w:hint="eastAsia" w:ascii="仿宋" w:hAnsi="仿宋" w:eastAsia="仿宋" w:cs="仿宋"/>
          <w:i w:val="0"/>
          <w:iCs w:val="0"/>
          <w:caps w:val="0"/>
          <w:color w:val="auto"/>
          <w:spacing w:val="0"/>
          <w:sz w:val="24"/>
          <w:szCs w:val="24"/>
        </w:rPr>
        <w:t>适应工程技术专业化、标准化程度高、通用性强等特点，分专业领域建立健全工程技术人才评价标准，着力解决评价标准过于追求学术化问题，重点评价其掌握必备专业理论知识和解决工程技术难题、技术创造发明、技术推广应用、工程项目设计、工艺流程标准开发等实际能力和业绩。探索推动工程师国际互认，提高工程教育质量和工程技术人才职业化、国际化水平。</w:t>
      </w:r>
    </w:p>
    <w:p w14:paraId="113579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健全以职业能力为导向、以工作业绩为重点、注重职业道德和知识水平的技能人才评价体系。加快构建国家职业标准、行业企业工种岗位要求、专项职业能力考核规范等多层次职业标准。完善职业资格评价、职业技能等级认定、专项职业能力考核等多元化评价方式，做好评价结果有机衔接。坚持职业标准和岗位要求、职业能力考核和工作业绩评价、专业评价和企业认可相结合的原则，对技术技能型人才突出实际操作能力和解决关键生产技术难题要求，对知识技能型人才突出掌握运用理论知识指导生产实践、创造性开展工作要求，对复合技能型人才突出掌握多项技能、从事多工种多岗位复杂工作要求，引导鼓励技能人才培育精益求精的工匠精神。</w:t>
      </w:r>
    </w:p>
    <w:p w14:paraId="76F70A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十五</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完善面向企业、基层一线和青年人才的评价机制。</w:t>
      </w:r>
      <w:r>
        <w:rPr>
          <w:rFonts w:hint="eastAsia" w:ascii="仿宋" w:hAnsi="仿宋" w:eastAsia="仿宋" w:cs="仿宋"/>
          <w:i w:val="0"/>
          <w:iCs w:val="0"/>
          <w:caps w:val="0"/>
          <w:color w:val="auto"/>
          <w:spacing w:val="0"/>
          <w:sz w:val="24"/>
          <w:szCs w:val="24"/>
        </w:rPr>
        <w:t>建立与产业发展需求、经济结构相适应的企业人才评价机制，突出创新创业实践能力，推动企业自主创新能力提升。对业绩贡献突出的优秀企业家、经营管理人才、高层次创新创业人才，可放宽学历、资历、年限等申报条件。健全以市场和出资人认可为重要标准的企业经营管理人才评价体系，突出对经营业绩和综合素质的考核。建立社会化的职业经理人评价制度。</w:t>
      </w:r>
    </w:p>
    <w:p w14:paraId="70885B1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创新基层人才评价激励机制。对长期在基层一线和艰苦边远地区工作的人才，加大爱岗敬业表现、实际工作业绩、工作年限等评价权重，着力拓展基层人才职业发展空间。健全以职业农民为主体的农村实用人才评价制度，完善教育培训、认定评价管理、政策扶持“三位一体”的制度体系。完善社会工作专业人才职业水平评价制度，加强社会工作者职业化管理与激励保障，提升社会治理和社会服务现代化水平。</w:t>
      </w:r>
    </w:p>
    <w:p w14:paraId="54D768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完善青年人才评价激励措施。破除论资排辈、重显绩不重潜力等陈旧观念，重点遴选支持一批有较大发展潜力、有真才实学、堪当重任的优秀青年人才。加大各类科技、教育、人才工程项目对青年人才支持力度，鼓励设立青年专项，促进优秀青年人才脱颖而出。探索建立优秀青年人才举荐制度。</w:t>
      </w:r>
    </w:p>
    <w:p w14:paraId="43E0FB3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五、健全完善人才评价管理服务制度</w:t>
      </w:r>
    </w:p>
    <w:p w14:paraId="44536B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十六</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保障和落实用人单位自主权。</w:t>
      </w:r>
      <w:r>
        <w:rPr>
          <w:rFonts w:hint="eastAsia" w:ascii="仿宋" w:hAnsi="仿宋" w:eastAsia="仿宋" w:cs="仿宋"/>
          <w:i w:val="0"/>
          <w:iCs w:val="0"/>
          <w:caps w:val="0"/>
          <w:color w:val="auto"/>
          <w:spacing w:val="0"/>
          <w:sz w:val="24"/>
          <w:szCs w:val="24"/>
        </w:rPr>
        <w:t>尊重用人单位主导作用，支持用人单位结合自身功能定位和发展方向评价人才，促进人才评价与培养、使用、激励等相衔接。合理界定和下放人才评价权限，推动具备条件的高校、科研院所、医院、文化机构、大型企业、国家实验室、新型研发机构及其他人才智力密集单位自主开展评价聘用</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任</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工作。防止人才评价行政化、“官本位”倾向，充分发挥学术委员会等作用。对开展自主评价的单位，人才管理部门不再进行资格审批，通过完善信用机制、第三方评估、检查抽查等方式加强事中事后监管。</w:t>
      </w:r>
    </w:p>
    <w:p w14:paraId="074EEF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十七</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健全市场化、社会化的管理服务体系。</w:t>
      </w:r>
      <w:r>
        <w:rPr>
          <w:rFonts w:hint="eastAsia" w:ascii="仿宋" w:hAnsi="仿宋" w:eastAsia="仿宋" w:cs="仿宋"/>
          <w:i w:val="0"/>
          <w:iCs w:val="0"/>
          <w:caps w:val="0"/>
          <w:color w:val="auto"/>
          <w:spacing w:val="0"/>
          <w:sz w:val="24"/>
          <w:szCs w:val="24"/>
        </w:rPr>
        <w:t>进一步明确政府、市场、用人主体在人才评价中的职能定位，建立权责清晰、管理科学、协调高效的人才评价管理体制。推动人才管理部门转变职能、简政放权，强化政府人才评价宏观管理、政策法规制定、公共服务、监督保障等职能，减少审批事项和微观管理。发挥市场、社会等多元评价主体作用，积极培育发展各类人才评价社会组织和专业机构，逐步有序承接政府转移的人才评价职能。建立人才评价机构综合评估、动态调整机制。</w:t>
      </w:r>
    </w:p>
    <w:p w14:paraId="6976D76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十八</w:t>
      </w:r>
      <w:r>
        <w:rPr>
          <w:rFonts w:hint="eastAsia" w:ascii="楷体" w:hAnsi="楷体" w:eastAsia="楷体" w:cs="楷体"/>
          <w:b/>
          <w:bCs/>
          <w:i w:val="0"/>
          <w:iCs w:val="0"/>
          <w:caps w:val="0"/>
          <w:color w:val="auto"/>
          <w:spacing w:val="0"/>
          <w:sz w:val="24"/>
          <w:szCs w:val="24"/>
          <w:lang w:eastAsia="zh-CN"/>
        </w:rPr>
        <w:t>）</w:t>
      </w:r>
      <w:r>
        <w:rPr>
          <w:rFonts w:hint="eastAsia" w:ascii="楷体" w:hAnsi="楷体" w:eastAsia="楷体" w:cs="楷体"/>
          <w:b/>
          <w:bCs/>
          <w:i w:val="0"/>
          <w:iCs w:val="0"/>
          <w:caps w:val="0"/>
          <w:color w:val="auto"/>
          <w:spacing w:val="0"/>
          <w:sz w:val="24"/>
          <w:szCs w:val="24"/>
        </w:rPr>
        <w:t>优化公平公正的评价环境。</w:t>
      </w:r>
      <w:r>
        <w:rPr>
          <w:rFonts w:hint="eastAsia" w:ascii="仿宋" w:hAnsi="仿宋" w:eastAsia="仿宋" w:cs="仿宋"/>
          <w:i w:val="0"/>
          <w:iCs w:val="0"/>
          <w:caps w:val="0"/>
          <w:color w:val="auto"/>
          <w:spacing w:val="0"/>
          <w:sz w:val="24"/>
          <w:szCs w:val="24"/>
        </w:rPr>
        <w:t>加强人才评价法治建设，健全完善规章制度，提高评价质量和公信力，维护人才合法权益。严格规范评价程序，建立健全申报、审核、公示、反馈、申诉、巡查、举报、回溯等制度。加强评价专家数据库建设和资源共享，建立随机、回避、轮换的专家遴选机制，优化专家来源和结构，强化业内代表性。建立评价专家责任和信誉制度，实施退出和问责机制。强化人才评价综合治理，依法清理规范各类人才评价活动和发证、收费等事项，加强考试环境治理，落实考试安全主体责任。加强人才评价文化建设，提倡开展平等包容的学术批评、学术争论，保障不同学术观点的充分讨论，营造求真务实、鼓励创新、宽容失败的评价氛围和环境。</w:t>
      </w:r>
    </w:p>
    <w:p w14:paraId="084B45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各地区各部门要坚持党管人才原则，切实加强党委和政府对改革完善人才评价机制的统一领导，党委组织部门要牵头抓总，有关部门要各司其职、密切配合，发挥社会力量重要作用，认真抓好组织落实。要深入调查研究，结合实际制定具体实施方案，加强分类指导，强化督促检查，确保改革任务落地见效。军队可根据本意见，结合实际建立健全军队人才评价机制。要坚持分类推进、先行试点、稳步实施，及时研究解决改革中遇到的新情况新问题。要加强政策解读和舆论引导，积极回应社会关切，为分类推进人才评价机制改革营造良好氛围。</w:t>
      </w:r>
    </w:p>
    <w:p w14:paraId="58D7C79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仿宋" w:hAnsi="仿宋" w:eastAsia="仿宋" w:cs="仿宋"/>
          <w:color w:val="auto"/>
          <w:sz w:val="24"/>
          <w:szCs w:val="24"/>
        </w:rPr>
        <w:br w:type="page"/>
      </w:r>
      <w:bookmarkStart w:id="8" w:name="_Toc26431"/>
      <w:bookmarkStart w:id="9" w:name="_Toc17339"/>
      <w:r>
        <w:rPr>
          <w:rFonts w:hint="eastAsia" w:ascii="宋体" w:hAnsi="宋体" w:eastAsia="宋体" w:cs="宋体"/>
          <w:b/>
          <w:bCs/>
          <w:i w:val="0"/>
          <w:iCs w:val="0"/>
          <w:caps w:val="0"/>
          <w:color w:val="auto"/>
          <w:spacing w:val="0"/>
          <w:sz w:val="36"/>
          <w:szCs w:val="36"/>
          <w:u w:val="none"/>
          <w:shd w:val="clear" w:color="auto" w:fill="FFFFFF"/>
        </w:rPr>
        <w:t>关于加强和改进新时代师德师风建设的意见</w:t>
      </w:r>
      <w:bookmarkEnd w:id="8"/>
      <w:bookmarkEnd w:id="9"/>
    </w:p>
    <w:p w14:paraId="79717E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为认真贯彻落实《新时代公民道德建设实施纲要》，深入推进实施《中共中央 国务院关于全面深化新时代教师队伍建设改革的意见》，全面提升教师思想政治素质和职业道德水平，现就加强和改进新时代师德师风建设提出如下意见。</w:t>
      </w:r>
    </w:p>
    <w:p w14:paraId="2324132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一、加强师德师风建设的总体要求</w:t>
      </w:r>
    </w:p>
    <w:p w14:paraId="5CECC0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1．指导思想。</w:t>
      </w:r>
      <w:r>
        <w:rPr>
          <w:rFonts w:hint="eastAsia" w:ascii="仿宋" w:hAnsi="仿宋" w:eastAsia="仿宋" w:cs="仿宋"/>
          <w:i w:val="0"/>
          <w:iCs w:val="0"/>
          <w:caps w:val="0"/>
          <w:color w:val="auto"/>
          <w:spacing w:val="0"/>
          <w:sz w:val="24"/>
          <w:szCs w:val="24"/>
          <w:shd w:val="clear" w:color="auto" w:fill="FFFFFF"/>
        </w:rPr>
        <w:t>以习近平新时代中国特色社会主义思想为指导，深入学习贯彻习近平总书记关于教育的重要论述和全国教育大会精神，把立德树人的成效作为检验学校一切工作的根本标准，把师德师风作为评价教师队伍素质的第一标准，将社会主义核心价值观贯穿师德师风建设全过程，严格制度规定，强化日常教育督导，加大教师权益保护力度，倡导全社会尊师重教，激励广大教师努力成为“四有”好老师，着力培养德智体美劳全面发展的社会主义建设者和接班人。</w:t>
      </w:r>
    </w:p>
    <w:p w14:paraId="0167B10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2．基本原则</w:t>
      </w:r>
    </w:p>
    <w:p w14:paraId="30D9EA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——坚持正确方向。加强党对教育工作的全面领导，坚持社会主义办学方向，确保教师在落实立德树人根本任务中的主体作用得到全面发挥。</w:t>
      </w:r>
    </w:p>
    <w:p w14:paraId="690F25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——坚持尊重规律。遵循教育规律、教师成长发展规律和师德师风建设规律，注重高位引领与底线要求结合、严管与厚爱并重，不断激发教师内生动力。</w:t>
      </w:r>
    </w:p>
    <w:p w14:paraId="4A1582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——坚持聚焦重点。围绕重点内容，针对突出问题，强化各地各部门的领导责任，压实学校主体责任，引导家庭、社会协同配合，推进师德师风建设工作制度化、常态化。</w:t>
      </w:r>
    </w:p>
    <w:p w14:paraId="093D3C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——坚持继承创新。传承中华优秀师道传统，全面总结改革开放特别是党的十八大以来师德师风建设经验，适应新时代变化，加强创新，推动师德师风建设工作不断深化。</w:t>
      </w:r>
    </w:p>
    <w:p w14:paraId="1E7129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rPr>
        <w:t>3．总体目标。</w:t>
      </w:r>
      <w:r>
        <w:rPr>
          <w:rFonts w:hint="eastAsia" w:ascii="仿宋" w:hAnsi="仿宋" w:eastAsia="仿宋" w:cs="仿宋"/>
          <w:i w:val="0"/>
          <w:iCs w:val="0"/>
          <w:caps w:val="0"/>
          <w:color w:val="auto"/>
          <w:spacing w:val="0"/>
          <w:sz w:val="24"/>
          <w:szCs w:val="24"/>
          <w:shd w:val="clear" w:color="auto" w:fill="FFFFFF"/>
        </w:rPr>
        <w:t>经过5年左右努力，基本建立起完备的师德师风建设制度体系和有效的师德师风建设长效机制。教师思想政治素质和职业道德水平全面提升，教师敬业立学、崇德尚美呈现新风貌。教师权益保障体系基本建立，教师安心、热心、舒心、静心从教的良好环境基本形成，师道尊严进一步提振。全社会对教师职业认同度加深，教师政治地位、社会地位、职业地位显著提高，尊师重教蔚然成风。</w:t>
      </w:r>
    </w:p>
    <w:p w14:paraId="00BFCA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二、全面加强教师队伍思想政治工作</w:t>
      </w:r>
    </w:p>
    <w:p w14:paraId="7334A9B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4．坚持思想铸魂，用习近平新时代中国特色社会主义思想武装教师头脑。</w:t>
      </w:r>
      <w:r>
        <w:rPr>
          <w:rFonts w:hint="eastAsia" w:ascii="仿宋" w:hAnsi="仿宋" w:eastAsia="仿宋" w:cs="仿宋"/>
          <w:i w:val="0"/>
          <w:iCs w:val="0"/>
          <w:caps w:val="0"/>
          <w:color w:val="auto"/>
          <w:spacing w:val="0"/>
          <w:sz w:val="24"/>
          <w:szCs w:val="24"/>
          <w:shd w:val="clear" w:color="auto" w:fill="FFFFFF"/>
        </w:rPr>
        <w:t>健全教师理论学习制度，开展习近平新时代中国特色社会主义思想系统化、常态化学习，重点加强习近平总书记关于教育的重要论述的学习，使广大教师学懂弄通、入脑入心，自觉用“四个意识”导航，用“四个自信”强基，用“两个维护”铸魂。依托高水平高校建设一批教育基地，同时统筹党校（行政学院）资源，定期开展教师思想政治轮训，使广大教师更好掌握马克思主义立场观点方法，认清中国和世界发展大势，增进对中国特色社会主义的政治认同、思想认同、理论认同、情感认同。</w:t>
      </w:r>
    </w:p>
    <w:p w14:paraId="094C46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5．坚持价值导向，引导教师带头践行社会主义核心价值观。</w:t>
      </w:r>
      <w:r>
        <w:rPr>
          <w:rFonts w:hint="eastAsia" w:ascii="仿宋" w:hAnsi="仿宋" w:eastAsia="仿宋" w:cs="仿宋"/>
          <w:i w:val="0"/>
          <w:iCs w:val="0"/>
          <w:caps w:val="0"/>
          <w:color w:val="auto"/>
          <w:spacing w:val="0"/>
          <w:sz w:val="24"/>
          <w:szCs w:val="24"/>
          <w:shd w:val="clear" w:color="auto" w:fill="FFFFFF"/>
        </w:rPr>
        <w:t>将社会主义核心价值观融入教育教学全过程，体现到学校管理及校园文化建设各环节，进一步凝聚起师生员工思想共识，使之成为共同价值追求。弘扬中华优秀传统文化、革命文化和社会主义先进文化，培育科技创新文化，充分发挥文化涵养师德师风功能。身教重于言教，引导教师开展社会实践，深入了解世情、党情、国情、社情、民情，强化教育强国、教育为民的责任担当。健全教师志愿服务制度，鼓励支持广大教师参加志愿服务活动，在服务社会的实践中厚植教育情怀。重视高层次人才、海外归国教师、青年教师的教育引导，增强工作针对性。</w:t>
      </w:r>
    </w:p>
    <w:p w14:paraId="37F4E7D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6．坚持党建引领，充分发挥教师党支部和党员教师作用。</w:t>
      </w:r>
      <w:r>
        <w:rPr>
          <w:rFonts w:hint="eastAsia" w:ascii="仿宋" w:hAnsi="仿宋" w:eastAsia="仿宋" w:cs="仿宋"/>
          <w:i w:val="0"/>
          <w:iCs w:val="0"/>
          <w:caps w:val="0"/>
          <w:color w:val="auto"/>
          <w:spacing w:val="0"/>
          <w:sz w:val="24"/>
          <w:szCs w:val="24"/>
          <w:shd w:val="clear" w:color="auto" w:fill="FFFFFF"/>
        </w:rPr>
        <w:t>建强教师党支部，使教师党支部成为涵养师德师风的重要平台。建好党员教师队伍，使党员教师成为践行高尚师德的中坚力量。重视在高层次人才和优秀青年教师中发展党员工作，完善学校领导干部联系教师入党积极分子等制度。开展好“三会一课”，健全党的组织生活各项制度，通过组织集中学习、定期开展主题党日活动、经常开展谈心谈话、组织党员教师与非党员教师结对联系等，充分发挥教师党支部的战斗堡垒作用和党员教师的先锋模范作用。涉及教师利益的重要事项、重点工作，应征求教师党支部意见。</w:t>
      </w:r>
    </w:p>
    <w:p w14:paraId="7F7117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三、大力提升教师职业道德素养</w:t>
      </w:r>
    </w:p>
    <w:p w14:paraId="25DB9A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7．突出课堂育德，在教育教学中提升师德素养。</w:t>
      </w:r>
      <w:r>
        <w:rPr>
          <w:rFonts w:hint="eastAsia" w:ascii="仿宋" w:hAnsi="仿宋" w:eastAsia="仿宋" w:cs="仿宋"/>
          <w:i w:val="0"/>
          <w:iCs w:val="0"/>
          <w:caps w:val="0"/>
          <w:color w:val="auto"/>
          <w:spacing w:val="0"/>
          <w:sz w:val="24"/>
          <w:szCs w:val="24"/>
          <w:shd w:val="clear" w:color="auto" w:fill="FFFFFF"/>
        </w:rPr>
        <w:t>充分发挥课堂主渠道作用，引导广大教师守好讲台主阵地，将立德树人放在首要位置，融入渗透到教育教学全过程，以心育心、以德育德、以人格育人格。把握学生身心发展规律，实现全员全过程全方位育人，增强育人的主动性、针对性、实效性，避免重教书轻育人倾向。加强对新入职教师、青年教师的指导，通过老带新等机制，发挥传帮带作用，使其尽快熟悉教育规律、掌握教育方法，在育人实践中锤炼高尚道德情操。将师德师风教育贯穿师范生培养及教师生涯全过程，师范生必须修学师德教育课程，在职教师培训中要确保每学年有师德师风专题教育。</w:t>
      </w:r>
    </w:p>
    <w:p w14:paraId="7C9F958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8．突出典型树德，持续开展优秀教师选树宣传。</w:t>
      </w:r>
      <w:r>
        <w:rPr>
          <w:rFonts w:hint="eastAsia" w:ascii="仿宋" w:hAnsi="仿宋" w:eastAsia="仿宋" w:cs="仿宋"/>
          <w:i w:val="0"/>
          <w:iCs w:val="0"/>
          <w:caps w:val="0"/>
          <w:color w:val="auto"/>
          <w:spacing w:val="0"/>
          <w:sz w:val="24"/>
          <w:szCs w:val="24"/>
          <w:shd w:val="clear" w:color="auto" w:fill="FFFFFF"/>
        </w:rPr>
        <w:t>大力宣传新时代广大教师阳光美丽、爱岗敬业、甘于奉献、改革创新的新形象。深入挖掘优秀教师典型，综合运用授予荣誉、事迹报告、媒体宣传、创作文艺作品等手段，充分发挥典型引领示范和辐射带动作用。开展多层次的优秀教师选树宣传活动，形成校校有典型、榜样在身边、人人可学可做的局面。组织教师中的“时代楷模”、全国教书育人楷模、国家教学名师、最美教师等开展师德宣讲。鼓励各地各校采取实践反思、情景教学等形式，把一线优秀教师请进课堂，用真人真事诠释师德内涵。</w:t>
      </w:r>
    </w:p>
    <w:p w14:paraId="3C6B84E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9．突出规则立德，强化教师的法治和纪律教育。</w:t>
      </w:r>
      <w:r>
        <w:rPr>
          <w:rFonts w:hint="eastAsia" w:ascii="仿宋" w:hAnsi="仿宋" w:eastAsia="仿宋" w:cs="仿宋"/>
          <w:i w:val="0"/>
          <w:iCs w:val="0"/>
          <w:caps w:val="0"/>
          <w:color w:val="auto"/>
          <w:spacing w:val="0"/>
          <w:sz w:val="24"/>
          <w:szCs w:val="24"/>
          <w:shd w:val="clear" w:color="auto" w:fill="FFFFFF"/>
        </w:rPr>
        <w:t>以学习《中华人民共和国教师法》、新时代教师职业行为十项准则系列文件等为重点，提高全体教师的法治素养、规则意识，提升依法执教、规范执教能力。制订教师法治教育大纲，将法治教育纳入各级各类教师培训体系。强化纪律建设，全面梳理教师在课堂教学、关爱学生、师生关系、学术研究、社会活动等方面的纪律要求，依法依规健全规范体系，开展系统化、常态化宣传教育。加强警示教育，引导广大教师时刻自重、自省、自警、自励，坚守师德底线。</w:t>
      </w:r>
    </w:p>
    <w:p w14:paraId="2416C5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四、将师德师风建设要求贯穿教师管理全过程</w:t>
      </w:r>
    </w:p>
    <w:p w14:paraId="5D90726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10．严格招聘引进，把好教师队伍入口。</w:t>
      </w:r>
      <w:r>
        <w:rPr>
          <w:rFonts w:hint="eastAsia" w:ascii="仿宋" w:hAnsi="仿宋" w:eastAsia="仿宋" w:cs="仿宋"/>
          <w:i w:val="0"/>
          <w:iCs w:val="0"/>
          <w:caps w:val="0"/>
          <w:color w:val="auto"/>
          <w:spacing w:val="0"/>
          <w:sz w:val="24"/>
          <w:szCs w:val="24"/>
          <w:shd w:val="clear" w:color="auto" w:fill="FFFFFF"/>
        </w:rPr>
        <w:t>规范教师资格申请认定，完善教师招聘和引进制度，严格思想政治和师德考察，充分发挥党组织的领导和把关作用，建立科学完备的标准、程序，坚决避免教师招聘引进中的唯分数、唯文凭、唯职称、唯论文、唯帽子等倾向。鼓励有条件的地方和学校结合实际探索开展拟聘人员心理健康测评，作为聘用的重要参考。严格规范教师聘用，将思想政治和师德要求纳入教师聘用合同。加强试用期考察，全面评价聘用人员的思想政治和师德表现，对不合格人员取消聘用，及时解除聘用合同。高度重视从海外引进人才的全方位考察，提升人才引进质量。</w:t>
      </w:r>
    </w:p>
    <w:p w14:paraId="6DCAFF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11．严格考核评价，落实师德第一标准。</w:t>
      </w:r>
      <w:r>
        <w:rPr>
          <w:rFonts w:hint="eastAsia" w:ascii="仿宋" w:hAnsi="仿宋" w:eastAsia="仿宋" w:cs="仿宋"/>
          <w:i w:val="0"/>
          <w:iCs w:val="0"/>
          <w:caps w:val="0"/>
          <w:color w:val="auto"/>
          <w:spacing w:val="0"/>
          <w:sz w:val="24"/>
          <w:szCs w:val="24"/>
          <w:shd w:val="clear" w:color="auto" w:fill="FFFFFF"/>
        </w:rPr>
        <w:t>将师德考核摆在教师考核的首要位置，坚持多主体多元评价，以事实为依据，定性与定量相结合，提高评价的科学性和实效性，全面客观评价教师的师德表现。发挥师德考核对教师行为的约束和提醒作用，及时将考核发现的问题向教师反馈，并采取针对性举措帮助教师提高认识、加强整改。强化师德考核结果的运用，师德考核不合格者年度考核应评定为不合格，并取消在教师职称评聘、推优评先、表彰奖励、科研和人才项目申请等方面的资格。</w:t>
      </w:r>
    </w:p>
    <w:p w14:paraId="6096B5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12．严格师德督导，建立多元监督体系。</w:t>
      </w:r>
      <w:r>
        <w:rPr>
          <w:rFonts w:hint="eastAsia" w:ascii="仿宋" w:hAnsi="仿宋" w:eastAsia="仿宋" w:cs="仿宋"/>
          <w:i w:val="0"/>
          <w:iCs w:val="0"/>
          <w:caps w:val="0"/>
          <w:color w:val="auto"/>
          <w:spacing w:val="0"/>
          <w:sz w:val="24"/>
          <w:szCs w:val="24"/>
          <w:shd w:val="clear" w:color="auto" w:fill="FFFFFF"/>
        </w:rPr>
        <w:t>完善多方广泛参与、客观公正科学合理的师德师风监督机制。加强政府督导，将各级各类学校师德师风建设长效机制落实情况作为对地方政府履行教育职责评价的重要测评内容，针对群众反映强烈的问题、师德师风问题多发的地方开展专项督导。加强学校监督，各级各类学校要在校园显著位置公示学校及教育主管部门举报电话、邮箱等信息，依法依规接受监督举报。强化社会监督，探索建立师德师风监督员制度，定期对学校师德师风建设情况进行监督评议，向教育主管部门反馈，将监督评议情况作为学校及领导班子年度考核的重要内容。</w:t>
      </w:r>
    </w:p>
    <w:p w14:paraId="4D0BAEA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13．严格违规惩处，治理师德突出问题。</w:t>
      </w:r>
      <w:r>
        <w:rPr>
          <w:rFonts w:hint="eastAsia" w:ascii="仿宋" w:hAnsi="仿宋" w:eastAsia="仿宋" w:cs="仿宋"/>
          <w:i w:val="0"/>
          <w:iCs w:val="0"/>
          <w:caps w:val="0"/>
          <w:color w:val="auto"/>
          <w:spacing w:val="0"/>
          <w:sz w:val="24"/>
          <w:szCs w:val="24"/>
          <w:shd w:val="clear" w:color="auto" w:fill="FFFFFF"/>
        </w:rPr>
        <w:t>推动地方和高校落实新时代教师职业行为十项准则等文件规范，制定具体细化的教师职业行为负面清单。把群众反映强烈、社会影响恶劣的突出问题作为重点从严查处，针对高校教师性骚扰学生、学术不端以及中小学教师违规有偿补课、收受学生和家长礼品礼金等开展集中治理。一经查实，要依规依纪给予组织处理或处分，严重的依法撤销教师资格、清除出教师队伍。建立师德失范曝光平台，健全师德违规通报制度，起到警示震慑作用。建立并共享有关违法信息库，健全教师入职查询制度和有关违法犯罪人员从教限制制度。</w:t>
      </w:r>
    </w:p>
    <w:p w14:paraId="19C787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五、着力营造全社会尊师重教氛围</w:t>
      </w:r>
    </w:p>
    <w:p w14:paraId="69BEA4E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14．强化地位提升，激发教师工作热情。</w:t>
      </w:r>
      <w:r>
        <w:rPr>
          <w:rFonts w:hint="eastAsia" w:ascii="仿宋" w:hAnsi="仿宋" w:eastAsia="仿宋" w:cs="仿宋"/>
          <w:i w:val="0"/>
          <w:iCs w:val="0"/>
          <w:caps w:val="0"/>
          <w:color w:val="auto"/>
          <w:spacing w:val="0"/>
          <w:sz w:val="24"/>
          <w:szCs w:val="24"/>
          <w:shd w:val="clear" w:color="auto" w:fill="FFFFFF"/>
        </w:rPr>
        <w:t>制定教育改革发展和教师队伍建设重大决策、重要文件充分听取教师代表意见。各地重要节庆日活动，邀请优秀教师代表参加。做好优秀教师表彰奖励，依法依规在作出重大贡献、享有崇高声誉的教师中开展“人民教育家”荣誉称号评选授予工作，健全教书育人楷模、模范教师、优秀教师等多元的教师荣誉表彰体系。完善表彰奖励及管理办法，依法依规确定荣誉获得者享受的政治、生活待遇，加强对荣誉获得者后续支持服务。</w:t>
      </w:r>
    </w:p>
    <w:p w14:paraId="68ADF5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15．强化权利保护，维护教师职业尊严。</w:t>
      </w:r>
      <w:r>
        <w:rPr>
          <w:rFonts w:hint="eastAsia" w:ascii="仿宋" w:hAnsi="仿宋" w:eastAsia="仿宋" w:cs="仿宋"/>
          <w:i w:val="0"/>
          <w:iCs w:val="0"/>
          <w:caps w:val="0"/>
          <w:color w:val="auto"/>
          <w:spacing w:val="0"/>
          <w:sz w:val="24"/>
          <w:szCs w:val="24"/>
          <w:shd w:val="clear" w:color="auto" w:fill="FFFFFF"/>
        </w:rPr>
        <w:t>维护教师依法执教的职业权利，推动完善相关法律法规，明确教师教育管理学生的合法职权，研究出台教师惩戒权办法。学校和相关部门依法保障教师履行教育职责，对无过错但客观上发生学生意外伤害的，教师依法不承担责任。教师尊严不可侵害，对发生学生、家长及其亲属等因为教师履职行为而对教师进行侮辱、谩骂、肢体侵害，或者通过网络对教师进行诽谤、恶意炒作等行为，有关部门要高度重视，从严处理，构成违法犯罪的，依法追究相应责任。学校及教育部门应为教师维护合法权益提供必要的法律等方面支持。</w:t>
      </w:r>
    </w:p>
    <w:p w14:paraId="21AA93F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16．强化尊师教育，厚植校园师道文化。</w:t>
      </w:r>
      <w:r>
        <w:rPr>
          <w:rFonts w:hint="eastAsia" w:ascii="仿宋" w:hAnsi="仿宋" w:eastAsia="仿宋" w:cs="仿宋"/>
          <w:i w:val="0"/>
          <w:iCs w:val="0"/>
          <w:caps w:val="0"/>
          <w:color w:val="auto"/>
          <w:spacing w:val="0"/>
          <w:sz w:val="24"/>
          <w:szCs w:val="24"/>
          <w:shd w:val="clear" w:color="auto" w:fill="FFFFFF"/>
        </w:rPr>
        <w:t>从幼儿园开始加强尊师教育，加快形成接续我国优秀传统、符合时代精神的尊师重教文化。推进尊师文化进教材、进课堂、进校园，通过尊师第一课、9月尊师主题月等形式，将尊师重教观念渗透进学生的价值体系。有条件的地方和学校可结合实际统筹有关资源，因地制宜安排一线教师特别是长期从教教师进行疗休养，重点向符合条件的班主任和乡村教师倾斜。做好教师荣休工作，礼敬退休教师，弘扬尊师风尚。建立健全教职工代表大会制度，保障教师参与学校决策的民主权利。加强家庭教育，健全家校联系制度，引导家长尊重学校教育安排，尊敬教师创造发挥，配合学校做好学生的学习教育。</w:t>
      </w:r>
    </w:p>
    <w:p w14:paraId="41D9D0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17．强化各方联动，营造尊师重教氛围。</w:t>
      </w:r>
      <w:r>
        <w:rPr>
          <w:rFonts w:hint="eastAsia" w:ascii="仿宋" w:hAnsi="仿宋" w:eastAsia="仿宋" w:cs="仿宋"/>
          <w:i w:val="0"/>
          <w:iCs w:val="0"/>
          <w:caps w:val="0"/>
          <w:color w:val="auto"/>
          <w:spacing w:val="0"/>
          <w:sz w:val="24"/>
          <w:szCs w:val="24"/>
          <w:shd w:val="clear" w:color="auto" w:fill="FFFFFF"/>
        </w:rPr>
        <w:t>加强展现新时代教师风貌的影视文学作品创作，善用微博、微信、微视频、微电影等新媒体形式，传递教师正能量，让全社会广泛了解教师工作的重要性和特殊性。支持鼓励行业企业在向社会公众提供服务时“教师优先”。鼓励图书馆、博物馆、科技馆、体育场馆以及历史文化古迹和革命纪念馆（地）等对教师实行优待。鼓励社会团体、企业、民间组织对教师出资奖励，或通过依法成立基金、设立项目等方式，支持教师提升能力素质、进行疗休养或予以奖励激励。</w:t>
      </w:r>
    </w:p>
    <w:p w14:paraId="0BAA94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六、推进师德师风建设任务落到实处</w:t>
      </w:r>
    </w:p>
    <w:p w14:paraId="78187B9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18．加强工作保障，强化责任落实。</w:t>
      </w:r>
      <w:r>
        <w:rPr>
          <w:rFonts w:hint="eastAsia" w:ascii="仿宋" w:hAnsi="仿宋" w:eastAsia="仿宋" w:cs="仿宋"/>
          <w:i w:val="0"/>
          <w:iCs w:val="0"/>
          <w:caps w:val="0"/>
          <w:color w:val="auto"/>
          <w:spacing w:val="0"/>
          <w:sz w:val="24"/>
          <w:szCs w:val="24"/>
          <w:shd w:val="clear" w:color="auto" w:fill="FFFFFF"/>
        </w:rPr>
        <w:t>各地各校要把加强师德师风建设、弘扬尊师重教传统作为教师队伍建设的首要任务，夯实学校主体责任，压实学校主要负责人第一责任人责任。高校要强化党委教师工作部建设，明确将教师思想政治和师德师风建设作为其主要职责。各地各校要建立健全责任落实机制，坚持失责必问、问责必严。财政部门要坚持将教师队伍建设作为教育投入重点予以优先保障，按规定统筹现有资金渠道支持师德师风建设。依托现有资源，建设一批师德师风建设基地，加强工作支撑，提高师德师风建设工作的科学性、实效性。</w:t>
      </w:r>
    </w:p>
    <w:p w14:paraId="302F7D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bidi="ar"/>
        </w:rPr>
      </w:pPr>
      <w:r>
        <w:rPr>
          <w:rFonts w:hint="eastAsia" w:ascii="仿宋" w:hAnsi="仿宋" w:eastAsia="仿宋" w:cs="仿宋"/>
          <w:color w:val="auto"/>
          <w:sz w:val="24"/>
          <w:szCs w:val="24"/>
        </w:rPr>
        <w:br w:type="page"/>
      </w:r>
      <w:bookmarkStart w:id="10" w:name="_Toc14124"/>
      <w:bookmarkStart w:id="11" w:name="_Toc9700"/>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新时代高等学校思想政治理论课教师队伍建设规定</w:t>
      </w:r>
      <w:bookmarkEnd w:id="10"/>
      <w:bookmarkEnd w:id="11"/>
    </w:p>
    <w:p w14:paraId="4E6AAE0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第一章 总则</w:t>
      </w:r>
    </w:p>
    <w:p w14:paraId="3E90FC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第一条 </w:t>
      </w:r>
      <w:r>
        <w:rPr>
          <w:rFonts w:hint="eastAsia" w:ascii="仿宋" w:hAnsi="仿宋" w:eastAsia="仿宋" w:cs="仿宋"/>
          <w:i w:val="0"/>
          <w:iCs w:val="0"/>
          <w:caps w:val="0"/>
          <w:color w:val="auto"/>
          <w:spacing w:val="0"/>
          <w:kern w:val="0"/>
          <w:sz w:val="24"/>
          <w:szCs w:val="24"/>
          <w:shd w:val="clear" w:color="auto" w:fill="FFFFFF"/>
          <w:lang w:val="en-US" w:eastAsia="zh-CN" w:bidi="ar"/>
        </w:rPr>
        <w:t>为深入贯彻落实习近平新时代中国特色社会主义思想和党的十九大精神，贯彻落实习近平总书记关于教育的重要论述，全面贯彻党的教育方针，加强新时代高等学校思想政治理论课（以下简称思政课）教师队伍建设，根据《中华人民共和国教师法》，中共中央办公厅、国务院办公厅印发的《关于深化新时代学校思想政治理论课改革创新的若干意见》，制定本规定。</w:t>
      </w:r>
    </w:p>
    <w:p w14:paraId="0C0F59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第二条 </w:t>
      </w:r>
      <w:r>
        <w:rPr>
          <w:rFonts w:hint="eastAsia" w:ascii="仿宋" w:hAnsi="仿宋" w:eastAsia="仿宋" w:cs="仿宋"/>
          <w:i w:val="0"/>
          <w:iCs w:val="0"/>
          <w:caps w:val="0"/>
          <w:color w:val="auto"/>
          <w:spacing w:val="0"/>
          <w:kern w:val="0"/>
          <w:sz w:val="24"/>
          <w:szCs w:val="24"/>
          <w:shd w:val="clear" w:color="auto" w:fill="FFFFFF"/>
          <w:lang w:val="en-US" w:eastAsia="zh-CN" w:bidi="ar"/>
        </w:rPr>
        <w:t>思政课是高等学校落实立德树人根本任务的关键课程，是必须按照国家要求设置的课程。</w:t>
      </w:r>
    </w:p>
    <w:p w14:paraId="6D142E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思政课教师是指承担高等学校思政课教育教学和研究职责的专兼职教师，是高等学校教师队伍中承担开展马克思主义理论教育、用习近平新时代中国特色社会主义思想铸魂育人的中坚力量。</w:t>
      </w:r>
    </w:p>
    <w:p w14:paraId="521E6C4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第三条 </w:t>
      </w:r>
      <w:r>
        <w:rPr>
          <w:rFonts w:hint="eastAsia" w:ascii="仿宋" w:hAnsi="仿宋" w:eastAsia="仿宋" w:cs="仿宋"/>
          <w:i w:val="0"/>
          <w:iCs w:val="0"/>
          <w:caps w:val="0"/>
          <w:color w:val="auto"/>
          <w:spacing w:val="0"/>
          <w:kern w:val="0"/>
          <w:sz w:val="24"/>
          <w:szCs w:val="24"/>
          <w:shd w:val="clear" w:color="auto" w:fill="FFFFFF"/>
          <w:lang w:val="en-US" w:eastAsia="zh-CN" w:bidi="ar"/>
        </w:rPr>
        <w:t>主管教育部门、高等学校应当加强思政课教师队伍建设，把思政课教师队伍建设纳入教育事业发展和干部人才队伍建设总体规划，在师资建设上优先考虑，在资金投入上优先保障，在资源配置上优先满足。</w:t>
      </w:r>
    </w:p>
    <w:p w14:paraId="59C656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第四条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落实全员育人、全程育人、全方位育人要求，构建完善立德树人工作体系，调动广大教职工参与思想政治理论教育的积极性、主动性，动员各方面力量支持、配合思政课教师开展教学科研、组织学生社会实践等工作，提升思政课教学效果。</w:t>
      </w:r>
    </w:p>
    <w:p w14:paraId="140682B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val="en-US" w:eastAsia="zh-CN"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第二章 职责与要求</w:t>
      </w:r>
    </w:p>
    <w:p w14:paraId="1173CD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第五条 </w:t>
      </w:r>
      <w:r>
        <w:rPr>
          <w:rFonts w:hint="eastAsia" w:ascii="仿宋" w:hAnsi="仿宋" w:eastAsia="仿宋" w:cs="仿宋"/>
          <w:i w:val="0"/>
          <w:iCs w:val="0"/>
          <w:caps w:val="0"/>
          <w:color w:val="auto"/>
          <w:spacing w:val="0"/>
          <w:kern w:val="0"/>
          <w:sz w:val="24"/>
          <w:szCs w:val="24"/>
          <w:shd w:val="clear" w:color="auto" w:fill="FFFFFF"/>
          <w:lang w:val="en-US" w:eastAsia="zh-CN" w:bidi="ar"/>
        </w:rPr>
        <w:t>思政课教师的首要岗位职责是讲好思政课。思政课教师要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为培养德智体美劳全面发展的社会主义建设者和接班人作出积极贡献。</w:t>
      </w:r>
    </w:p>
    <w:p w14:paraId="594FDE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第六条 </w:t>
      </w:r>
      <w:r>
        <w:rPr>
          <w:rFonts w:hint="eastAsia" w:ascii="仿宋" w:hAnsi="仿宋" w:eastAsia="仿宋" w:cs="仿宋"/>
          <w:i w:val="0"/>
          <w:iCs w:val="0"/>
          <w:caps w:val="0"/>
          <w:color w:val="auto"/>
          <w:spacing w:val="0"/>
          <w:kern w:val="0"/>
          <w:sz w:val="24"/>
          <w:szCs w:val="24"/>
          <w:shd w:val="clear" w:color="auto" w:fill="FFFFFF"/>
          <w:lang w:val="en-US" w:eastAsia="zh-CN" w:bidi="ar"/>
        </w:rPr>
        <w:t>对思政课教师的岗位要求是：</w:t>
      </w:r>
    </w:p>
    <w:p w14:paraId="13D346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一）思政课教师应当增强“四个意识”，坚定“四个自信”，做到“两个维护”，始终在政治立场、政治方向、政治原则、政治道路上同以习近平同志为核心的党中央保持高度一致，模范践行高等学校教师师德规范。做到信仰坚定、学识渊博、理论功底深厚，努力做到政治强、情怀深、思维新、视野广、自律严、人格正，自觉用习近平新时代中国特色社会主义思想武装头脑，做学习和实践马克思主义的典范，做为学为人的表率。</w:t>
      </w:r>
    </w:p>
    <w:p w14:paraId="56806E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二）思政课教师应当用好国家统编教材。以讲好用好教材为基础，认真参加教材使用培训和集体备课，深入研究教材内容，吃准吃透教材基本精神，全面把握教材重点、难点，认真做好教材转化工作，编写好教案，切实推动教材体系向教学体系转化。</w:t>
      </w:r>
    </w:p>
    <w:p w14:paraId="373E3A2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三）思政课教师应当加强教学研究。坚持以思政课教学为核心的科研导向，紧紧围绕马克思主义理论学科内涵开展科研，深入研究思政课教学方法和教学重点难点问题，深入研究坚持和发展中国特色社会主义的重大理论和实践问题。</w:t>
      </w:r>
    </w:p>
    <w:p w14:paraId="20765A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四）思政课教师应当深化教学改革创新。按照政治性和学理性相统一、价值性和知识性相统一、建设性和批判性相统一、理论性和实践性相统一、统一性和多样性相统一、主导性和主体性相统一、灌输性和启发性相统一、显性教育和隐性教育相统一的要求，增强思政课的思想性、理论性和亲和力、针对性，全面提高思政课质量和水平。</w:t>
      </w:r>
    </w:p>
    <w:p w14:paraId="609E7F1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val="en-US" w:eastAsia="zh-CN"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第三章 配备与选聘</w:t>
      </w:r>
    </w:p>
    <w:p w14:paraId="64ADE3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第七条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高等学校应当配齐建强思政课专职教师队伍，建设专职为主、专兼结合、数量充足、素质优良的思政课教师队伍。</w:t>
      </w:r>
    </w:p>
    <w:p w14:paraId="61173A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高等学校应当根据全日制在校生总数，严格按照师生比不低于1:350的比例核定专职思政课教师岗位。公办高等学校要在编制内配足，且不得挪作他用。</w:t>
      </w:r>
    </w:p>
    <w:p w14:paraId="58D0F6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第八条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高等学校应当根据思政课教师工作职责、岗位要求，制定任职资格标准和选聘办法。</w:t>
      </w:r>
    </w:p>
    <w:p w14:paraId="1274CE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高等学校可以在与思政课教学内容相关的学科遴选优秀教师进行培训后加入思政课教师队伍，专职从事思政课教学；并可以探索胜任思政课教学的党政管理干部转岗为专职思政课教师，积极推动符合条件的辅导员参与思政课教学，鼓励政治素质过硬的相关学科专家转任思政课教师。</w:t>
      </w:r>
    </w:p>
    <w:p w14:paraId="48A6600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第九条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可以实行思政课特聘教师、兼职教师制度。鼓励高等学校统筹地方党政领导干部、企事业单位管理专家、社科理论界专家、各行业先进模范以及高等学校党委书记校长、院（系）党政负责人、名家大师和专业课骨干、日常思想政治教育骨干等讲授思政课。支持高等学校建立两院院士、国有企业领导等人士经常性进高校、上思政课讲台的长效机制。</w:t>
      </w:r>
    </w:p>
    <w:p w14:paraId="121525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第十条 </w:t>
      </w:r>
      <w:r>
        <w:rPr>
          <w:rFonts w:hint="eastAsia" w:ascii="仿宋" w:hAnsi="仿宋" w:eastAsia="仿宋" w:cs="仿宋"/>
          <w:i w:val="0"/>
          <w:iCs w:val="0"/>
          <w:caps w:val="0"/>
          <w:color w:val="auto"/>
          <w:spacing w:val="0"/>
          <w:kern w:val="0"/>
          <w:sz w:val="24"/>
          <w:szCs w:val="24"/>
          <w:shd w:val="clear" w:color="auto" w:fill="FFFFFF"/>
          <w:lang w:val="en-US" w:eastAsia="zh-CN" w:bidi="ar"/>
        </w:rPr>
        <w:t>主管教育部门应当加大高等学校思政课校际协作力度，加强区域内高等学校思政课教师柔性流动和协同机制建设，支持高水平思政课教师采取多种方式开展思政课教学工作。采取派驻支援或组建讲师团等形式支持民办高等学校配备思政课教师。</w:t>
      </w:r>
    </w:p>
    <w:p w14:paraId="3F2B39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第十一条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高等学校应当严把思政课教师政治关、师德关、业务关，明确思政课教师任职条件，根据国家有关规定和本规定要求，制定思政课教师规范或者在聘任合同中明确思政课教师权利义务与职责。</w:t>
      </w:r>
    </w:p>
    <w:p w14:paraId="2293D2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第十二条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高等学校应当设置独立的马克思主义学院等思政课教学科研二级机构，统筹思政课教学科研和教师队伍的管理、培养、培训。</w:t>
      </w:r>
    </w:p>
    <w:p w14:paraId="7E901E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思政课教学科研机构负责人应当是中国共产党党员，并有长期从事思政课教学或者马克思主义理论学科研究的经历。缺少合适人选的高等学校可以采取兼职等办法，从相关单位聘任思政课教学科研机构负责人。</w:t>
      </w:r>
    </w:p>
    <w:p w14:paraId="5A9F1D8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val="en-US" w:eastAsia="zh-CN"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第四章 培养与培训</w:t>
      </w:r>
    </w:p>
    <w:p w14:paraId="2077D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第十三条 </w:t>
      </w:r>
      <w:r>
        <w:rPr>
          <w:rFonts w:hint="eastAsia" w:ascii="仿宋" w:hAnsi="仿宋" w:eastAsia="仿宋" w:cs="仿宋"/>
          <w:i w:val="0"/>
          <w:iCs w:val="0"/>
          <w:caps w:val="0"/>
          <w:color w:val="auto"/>
          <w:spacing w:val="0"/>
          <w:kern w:val="0"/>
          <w:sz w:val="24"/>
          <w:szCs w:val="24"/>
          <w:shd w:val="clear" w:color="auto" w:fill="FFFFFF"/>
          <w:lang w:val="en-US" w:eastAsia="zh-CN" w:bidi="ar"/>
        </w:rPr>
        <w:t>主管教育部门和高等学校应当加强思政课教师队伍后备人才培养。</w:t>
      </w:r>
    </w:p>
    <w:p w14:paraId="535D69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国务院教育行政部门应当制定马克思主义理论专业类教学质量国家标准，加强本硕博课程教材体系建设，统筹推进马克思主义理论本硕博一体化人才培养工作。实施“高校思政课教师队伍后备人才培养专项支持计划”，专门招收马克思主义理论学科研究生，不断为思政课教师队伍输送高水平人才。高等学校应当注重选拔高素质人才从事马克思主义理论学习研究和教育教学，加强思政课教师队伍后备人才思想政治工作。</w:t>
      </w:r>
    </w:p>
    <w:p w14:paraId="41AB41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第十四条 </w:t>
      </w:r>
      <w:r>
        <w:rPr>
          <w:rFonts w:hint="eastAsia" w:ascii="仿宋" w:hAnsi="仿宋" w:eastAsia="仿宋" w:cs="仿宋"/>
          <w:i w:val="0"/>
          <w:iCs w:val="0"/>
          <w:caps w:val="0"/>
          <w:color w:val="auto"/>
          <w:spacing w:val="0"/>
          <w:kern w:val="0"/>
          <w:sz w:val="24"/>
          <w:szCs w:val="24"/>
          <w:shd w:val="clear" w:color="auto" w:fill="FFFFFF"/>
          <w:lang w:val="en-US" w:eastAsia="zh-CN" w:bidi="ar"/>
        </w:rPr>
        <w:t>建立国家、省（区、市）、高等学校三级思政课教师培训体系。国务院教育行政部门建立高等学校思政课教师研修基地，开展国家级示范培训，建立思政课教师教学研究交流平台。主管教育部门和高等学校应当建立健全思政课教师专业发展体系，定期组织开展教学研讨，保证思政课专职教师每3年至少接受一次专业培训，新入职教师应参加岗前专项培训。</w:t>
      </w:r>
    </w:p>
    <w:p w14:paraId="208DC8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第十五条 </w:t>
      </w:r>
      <w:r>
        <w:rPr>
          <w:rFonts w:hint="eastAsia" w:ascii="仿宋" w:hAnsi="仿宋" w:eastAsia="仿宋" w:cs="仿宋"/>
          <w:i w:val="0"/>
          <w:iCs w:val="0"/>
          <w:caps w:val="0"/>
          <w:color w:val="auto"/>
          <w:spacing w:val="0"/>
          <w:kern w:val="0"/>
          <w:sz w:val="24"/>
          <w:szCs w:val="24"/>
          <w:shd w:val="clear" w:color="auto" w:fill="FFFFFF"/>
          <w:lang w:val="en-US" w:eastAsia="zh-CN" w:bidi="ar"/>
        </w:rPr>
        <w:t>主管教育部门和高等学校应当拓展思政课教师培训渠道，设立思政课教师研学基地，定期安排思政课教师实地了解中国改革发展成果、组织思政课教师实地考察和比较分析国内外经济社会发展状况，创造条件支持思政课教师到地方党政机关、企事业单位、基层等开展实践锻炼。</w:t>
      </w:r>
    </w:p>
    <w:p w14:paraId="56F750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高等学校应当根据全日制在校生总数，按照本科院校每生每年不低于40元、专科院校每生每年不低于30元的标准安排专项经费，用于保障思政课教师的学术交流、实践研修等，并根据实际情况逐步加大支持力度。</w:t>
      </w:r>
    </w:p>
    <w:p w14:paraId="5FDAC8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第十六条 </w:t>
      </w:r>
      <w:r>
        <w:rPr>
          <w:rFonts w:hint="eastAsia" w:ascii="仿宋" w:hAnsi="仿宋" w:eastAsia="仿宋" w:cs="仿宋"/>
          <w:i w:val="0"/>
          <w:iCs w:val="0"/>
          <w:caps w:val="0"/>
          <w:color w:val="auto"/>
          <w:spacing w:val="0"/>
          <w:kern w:val="0"/>
          <w:sz w:val="24"/>
          <w:szCs w:val="24"/>
          <w:shd w:val="clear" w:color="auto" w:fill="FFFFFF"/>
          <w:lang w:val="en-US" w:eastAsia="zh-CN" w:bidi="ar"/>
        </w:rPr>
        <w:t>主管教育部门和高等学校应当加大对思政课教师科学研究的支持力度。教育部人文社科研究项目要设立专项课题，主管教育部门要设立相关项目，持续有力支持思政课教师开展教学研究。主管教育部门和高等学校应当加强马克思主义理论教学科研成果学术阵地建设，支持新创办思政课研究学术期刊，相关哲学社会科学类学术期刊要设立思政课研究栏目。</w:t>
      </w:r>
    </w:p>
    <w:p w14:paraId="66E7C7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val="en-US" w:eastAsia="zh-CN"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第五章 考核与评价</w:t>
      </w:r>
    </w:p>
    <w:p w14:paraId="33EA02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第十七条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高等学校应当科学设置思政课教师专业技术职务（职称）岗位，按教师比例核定思政课教师专业技术职务（职称）各类岗位占比，高级岗位比例不低于学校平均水平，不得挪作他用。</w:t>
      </w:r>
    </w:p>
    <w:p w14:paraId="71918E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第十八条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高等学校应当制定符合思政课教师职业特点和岗位要求的专业技术职务（职称）评聘标准，提高教学和教学研究在评聘条件中的占比。</w:t>
      </w:r>
    </w:p>
    <w:p w14:paraId="032D8D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高等学校可以结合实际分类设置教学研究型、教学型思政课教师专业技术职务（职称），两种类型都要在教学方面设置基本任务要求，要将教学效果作为思政课教师专业技术职务（职称）评聘的根本标准，同时要重视考查科研成果。</w:t>
      </w:r>
    </w:p>
    <w:p w14:paraId="1DC5B9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高等学校可以设置具体条件，将承担思政课教学的基本情况以及教学实效作为思政课教师参加高一级专业技术职务（职称）评聘的首要考查条件和必要条件。将为本专科生上思政课作为思政课教师参加高级专业技术职务（职称）评聘的必要条件。将至少一年兼任辅导员、班主任等日常思想政治教育工作经历并考核合格作为青年教师晋升高一级专业技术职务（职称）的必要条件。</w:t>
      </w:r>
    </w:p>
    <w:p w14:paraId="79ED32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思政课教师指导1个马克思主义理论类学生社团1年以上，且较好履行政治把关、理论学习、业务指导等职责的，在专业技术职务（职称）评聘中同等条件下可以优先考虑。</w:t>
      </w:r>
    </w:p>
    <w:p w14:paraId="34CDF8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思政课教师在思想素质、政治素质、师德师风等方面存在突出问题的，在专业技术职务（职称）评聘中实行“一票否决”。</w:t>
      </w:r>
    </w:p>
    <w:p w14:paraId="0FABB4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第十九条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完善思政课教师教学和科研成果认定制度，推行科研成果代表作制度，制定思政课教师发表文章的重点报刊目录，将思政课教师在中央和地方主要媒体发表的理论文章纳入学术成果范围，细化相关认定办法。教学和科研成果可以是专著、论文、教学参考资料、调查报告、教书育人经验总结等。在制定思政课教师专业技术职务（职称）评聘指标和排次定序依据时，要结合实际设置规则，不得将国外期刊论文发表情况和出国访学留学情况作为必要条件。</w:t>
      </w:r>
    </w:p>
    <w:p w14:paraId="6FD02E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健全思政课教师专业技术职务（职称）评价机制，建立以同行专家评价为主的评价机制，突出思政课的政治性、思想性、学术性、专业性、实效性，评价专家应以马克思主义理论学科为主，同时可适当吸收相关学科专家参加。</w:t>
      </w:r>
    </w:p>
    <w:p w14:paraId="3CBB81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思政课教师专业技术职务（职称）评审委员会应当包含学校党委有关负责同志、思政课教学科研部门负责人，校内专业技术职务（职称）评聘委员会应有同比例的马克思主义理论学科专家。</w:t>
      </w:r>
    </w:p>
    <w:p w14:paraId="281BEC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0"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高等学校应当制定思政课教师专业技术职务（职称）管理办法。完善专业技术职务（职称）退出机制，加强聘期考核，加大激励力度，准聘与长聘相结合。</w:t>
      </w:r>
    </w:p>
    <w:p w14:paraId="2AC2CB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val="en-US" w:eastAsia="zh-CN"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第六章 保障与管理</w:t>
      </w:r>
    </w:p>
    <w:p w14:paraId="211100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第二十一条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高等学校应当切实提高专职思政课教师待遇，要因地制宜设立思政课教师岗位津贴。高等学校要为思政课教师的教学科研工作创造便利条件，配备满足教学科研需要的办公空间、硬件设备和图书资料。</w:t>
      </w:r>
    </w:p>
    <w:p w14:paraId="704018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第二十二条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高等学校思政课教师由马克思主义学院等思政课教学科研机构统一管理。每门课程都应当建立相应的教学科研组织，并可以根据需要配备管理人员。</w:t>
      </w:r>
    </w:p>
    <w:p w14:paraId="3BEA5C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第二十三条 </w:t>
      </w:r>
      <w:r>
        <w:rPr>
          <w:rFonts w:hint="eastAsia" w:ascii="仿宋" w:hAnsi="仿宋" w:eastAsia="仿宋" w:cs="仿宋"/>
          <w:i w:val="0"/>
          <w:iCs w:val="0"/>
          <w:caps w:val="0"/>
          <w:color w:val="auto"/>
          <w:spacing w:val="0"/>
          <w:kern w:val="0"/>
          <w:sz w:val="24"/>
          <w:szCs w:val="24"/>
          <w:shd w:val="clear" w:color="auto" w:fill="FFFFFF"/>
          <w:lang w:val="en-US" w:eastAsia="zh-CN" w:bidi="ar"/>
        </w:rPr>
        <w:t>主管教育部门和高等学校要大力培养、推荐、表彰思政课教师中的先进典型。全国教育系统先进个人表彰中对思政课教师比例或名额作出规定；国家级教学成果奖、高等学校科学研究优秀成果奖（人文社科）中加大力度支持思政课；“长江学者奖励计划”等高层次人才项目中加大倾斜支持优秀思政课教师的力度。</w:t>
      </w:r>
    </w:p>
    <w:p w14:paraId="71D3B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第二十四条 </w:t>
      </w:r>
      <w:r>
        <w:rPr>
          <w:rFonts w:hint="eastAsia" w:ascii="仿宋" w:hAnsi="仿宋" w:eastAsia="仿宋" w:cs="仿宋"/>
          <w:i w:val="0"/>
          <w:iCs w:val="0"/>
          <w:caps w:val="0"/>
          <w:color w:val="auto"/>
          <w:spacing w:val="0"/>
          <w:kern w:val="0"/>
          <w:sz w:val="24"/>
          <w:szCs w:val="24"/>
          <w:shd w:val="clear" w:color="auto" w:fill="FFFFFF"/>
          <w:lang w:val="en-US" w:eastAsia="zh-CN" w:bidi="ar"/>
        </w:rPr>
        <w:t>主管教育部门和高等学校应当加强宣传、引导，并采取设立奖励基金等方式支持高等学校思政课教师队伍建设，以各种方式定期对优秀思政课教师和马克思主义理论学科学生给予奖励。</w:t>
      </w:r>
    </w:p>
    <w:p w14:paraId="42ADC1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第二十五条 </w:t>
      </w:r>
      <w:r>
        <w:rPr>
          <w:rFonts w:hint="eastAsia" w:ascii="仿宋" w:hAnsi="仿宋" w:eastAsia="仿宋" w:cs="仿宋"/>
          <w:i w:val="0"/>
          <w:iCs w:val="0"/>
          <w:caps w:val="0"/>
          <w:color w:val="auto"/>
          <w:spacing w:val="0"/>
          <w:kern w:val="0"/>
          <w:sz w:val="24"/>
          <w:szCs w:val="24"/>
          <w:shd w:val="clear" w:color="auto" w:fill="FFFFFF"/>
          <w:lang w:val="en-US" w:eastAsia="zh-CN" w:bidi="ar"/>
        </w:rPr>
        <w:t>高等学校应当加强对思政课教师的考核，健全退出机制，对政治立场、政治方向、政治原则、政治道路上不能同党中央保持一致的，或理论素养、教学水平达不到标准的教师，不得继续担任思政课教师或马克思主义理论学科研究生导师。</w:t>
      </w:r>
    </w:p>
    <w:p w14:paraId="1DAE50D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黑体" w:hAnsi="黑体" w:eastAsia="黑体" w:cs="黑体"/>
          <w:b/>
          <w:bCs/>
          <w:i w:val="0"/>
          <w:iCs w:val="0"/>
          <w:caps w:val="0"/>
          <w:color w:val="auto"/>
          <w:spacing w:val="0"/>
          <w:kern w:val="0"/>
          <w:sz w:val="24"/>
          <w:szCs w:val="24"/>
          <w:shd w:val="clear" w:color="auto" w:fill="FFFFFF"/>
          <w:lang w:val="en-US" w:eastAsia="zh-CN" w:bidi="ar"/>
        </w:rPr>
      </w:pPr>
      <w:r>
        <w:rPr>
          <w:rFonts w:hint="eastAsia" w:ascii="黑体" w:hAnsi="黑体" w:eastAsia="黑体" w:cs="黑体"/>
          <w:b/>
          <w:bCs/>
          <w:i w:val="0"/>
          <w:iCs w:val="0"/>
          <w:caps w:val="0"/>
          <w:color w:val="auto"/>
          <w:spacing w:val="0"/>
          <w:kern w:val="0"/>
          <w:sz w:val="24"/>
          <w:szCs w:val="24"/>
          <w:shd w:val="clear" w:color="auto" w:fill="FFFFFF"/>
          <w:lang w:val="en-US" w:eastAsia="zh-CN" w:bidi="ar"/>
        </w:rPr>
        <w:t>第七章 附则</w:t>
      </w:r>
    </w:p>
    <w:p w14:paraId="3CFFBE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第二十六条 </w:t>
      </w:r>
      <w:r>
        <w:rPr>
          <w:rFonts w:hint="eastAsia" w:ascii="仿宋" w:hAnsi="仿宋" w:eastAsia="仿宋" w:cs="仿宋"/>
          <w:i w:val="0"/>
          <w:iCs w:val="0"/>
          <w:caps w:val="0"/>
          <w:color w:val="auto"/>
          <w:spacing w:val="0"/>
          <w:kern w:val="0"/>
          <w:sz w:val="24"/>
          <w:szCs w:val="24"/>
          <w:shd w:val="clear" w:color="auto" w:fill="FFFFFF"/>
          <w:lang w:val="en-US" w:eastAsia="zh-CN" w:bidi="ar"/>
        </w:rPr>
        <w:t>本规定适用于普通高等学校（包括民办高等学校）思政课教师队伍建设。其他类型高等学校的思政课教师队伍建设可以参照本规定执行。</w:t>
      </w:r>
    </w:p>
    <w:p w14:paraId="3B4DCB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第二十七条 </w:t>
      </w:r>
      <w:r>
        <w:rPr>
          <w:rFonts w:hint="eastAsia" w:ascii="仿宋" w:hAnsi="仿宋" w:eastAsia="仿宋" w:cs="仿宋"/>
          <w:i w:val="0"/>
          <w:iCs w:val="0"/>
          <w:caps w:val="0"/>
          <w:color w:val="auto"/>
          <w:spacing w:val="0"/>
          <w:kern w:val="0"/>
          <w:sz w:val="24"/>
          <w:szCs w:val="24"/>
          <w:shd w:val="clear" w:color="auto" w:fill="FFFFFF"/>
          <w:lang w:val="en-US" w:eastAsia="zh-CN" w:bidi="ar"/>
        </w:rPr>
        <w:t>省级教育部门可以根据本规定，结合本地实际制定相关实施细则。</w:t>
      </w:r>
    </w:p>
    <w:p w14:paraId="138982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 xml:space="preserve">第二十八条 </w:t>
      </w:r>
      <w:r>
        <w:rPr>
          <w:rFonts w:hint="eastAsia" w:ascii="仿宋" w:hAnsi="仿宋" w:eastAsia="仿宋" w:cs="仿宋"/>
          <w:i w:val="0"/>
          <w:iCs w:val="0"/>
          <w:caps w:val="0"/>
          <w:color w:val="auto"/>
          <w:spacing w:val="0"/>
          <w:kern w:val="0"/>
          <w:sz w:val="24"/>
          <w:szCs w:val="24"/>
          <w:shd w:val="clear" w:color="auto" w:fill="FFFFFF"/>
          <w:lang w:val="en-US" w:eastAsia="zh-CN" w:bidi="ar"/>
        </w:rPr>
        <w:t>本规定自2020年3月1日起施行。</w:t>
      </w:r>
    </w:p>
    <w:p w14:paraId="5A7A12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仿宋" w:hAnsi="仿宋" w:eastAsia="仿宋" w:cs="仿宋"/>
          <w:color w:val="auto"/>
          <w:sz w:val="24"/>
          <w:szCs w:val="24"/>
        </w:rPr>
        <w:br w:type="page"/>
      </w:r>
      <w:bookmarkStart w:id="12" w:name="_Toc23444"/>
      <w:bookmarkStart w:id="13" w:name="_Toc9727"/>
      <w:r>
        <w:rPr>
          <w:rFonts w:hint="eastAsia" w:ascii="宋体" w:hAnsi="宋体" w:eastAsia="宋体" w:cs="宋体"/>
          <w:b/>
          <w:bCs/>
          <w:i w:val="0"/>
          <w:iCs w:val="0"/>
          <w:caps w:val="0"/>
          <w:color w:val="auto"/>
          <w:spacing w:val="0"/>
          <w:sz w:val="36"/>
          <w:szCs w:val="36"/>
          <w:u w:val="none"/>
          <w:shd w:val="clear" w:color="auto" w:fill="FFFFFF"/>
        </w:rPr>
        <w:t>关于加强新时代高校教师队伍建设改革</w:t>
      </w:r>
      <w:r>
        <w:rPr>
          <w:rFonts w:hint="eastAsia" w:ascii="宋体" w:hAnsi="宋体" w:cs="宋体"/>
          <w:b/>
          <w:bCs/>
          <w:i w:val="0"/>
          <w:iCs w:val="0"/>
          <w:caps w:val="0"/>
          <w:color w:val="auto"/>
          <w:spacing w:val="0"/>
          <w:sz w:val="36"/>
          <w:szCs w:val="36"/>
          <w:u w:val="none"/>
          <w:shd w:val="clear" w:color="auto" w:fill="FFFFFF"/>
          <w:lang w:val="en-US" w:eastAsia="zh-CN"/>
        </w:rPr>
        <w:t>的</w:t>
      </w:r>
      <w:r>
        <w:rPr>
          <w:rFonts w:hint="eastAsia" w:ascii="宋体" w:hAnsi="宋体" w:eastAsia="宋体" w:cs="宋体"/>
          <w:b/>
          <w:bCs/>
          <w:i w:val="0"/>
          <w:iCs w:val="0"/>
          <w:caps w:val="0"/>
          <w:color w:val="auto"/>
          <w:spacing w:val="0"/>
          <w:sz w:val="36"/>
          <w:szCs w:val="36"/>
          <w:u w:val="none"/>
          <w:shd w:val="clear" w:color="auto" w:fill="FFFFFF"/>
        </w:rPr>
        <w:t>指导意见</w:t>
      </w:r>
      <w:bookmarkEnd w:id="12"/>
      <w:bookmarkEnd w:id="13"/>
    </w:p>
    <w:p w14:paraId="3A07819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教师〔2020〕10号</w:t>
      </w:r>
    </w:p>
    <w:p w14:paraId="7D4565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各省、自治区、直辖市教育厅（教委）、党委组织部、党委宣传部、财政厅（局）、人力资源社会保障厅（局）、住房和城乡建设厅（委、管委），新疆生产建设兵团教育局、党委组织部、党委宣传部、财政局、人力资源社会保障局、住房和城乡建设局，有关部门（单位）教育司（局），部属各高等学校、部省合建各高等学校：</w:t>
      </w:r>
    </w:p>
    <w:p w14:paraId="75AF625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为全面贯彻习近平总书记关于教育的重要论述和全国教育大会精神，深入落实中共中央、国务院印发的《关于全面深化新时代教师队伍建设改革的意见》和《深化新时代教育评价改革总体方案》，加强新时代高校教师队伍建设改革，现提出如下指导意见。</w:t>
      </w:r>
    </w:p>
    <w:p w14:paraId="0C5BB8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i w:val="0"/>
          <w:iCs w:val="0"/>
          <w:caps w:val="0"/>
          <w:color w:val="auto"/>
          <w:spacing w:val="0"/>
          <w:sz w:val="24"/>
          <w:szCs w:val="24"/>
        </w:rPr>
      </w:pPr>
      <w:r>
        <w:rPr>
          <w:rFonts w:hint="eastAsia" w:ascii="黑体" w:hAnsi="黑体" w:eastAsia="黑体" w:cs="黑体"/>
          <w:b/>
          <w:bCs/>
          <w:i w:val="0"/>
          <w:iCs w:val="0"/>
          <w:caps w:val="0"/>
          <w:color w:val="auto"/>
          <w:spacing w:val="0"/>
          <w:sz w:val="24"/>
          <w:szCs w:val="24"/>
          <w:shd w:val="clear" w:color="auto" w:fill="FFFFFF"/>
        </w:rPr>
        <w:t>一、准确把握高校教师队伍建设改革的时代要求，落实立德树人根本任务</w:t>
      </w:r>
    </w:p>
    <w:p w14:paraId="087367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1.指导思想。</w:t>
      </w:r>
      <w:r>
        <w:rPr>
          <w:rFonts w:hint="eastAsia" w:ascii="仿宋" w:hAnsi="仿宋" w:eastAsia="仿宋" w:cs="仿宋"/>
          <w:i w:val="0"/>
          <w:iCs w:val="0"/>
          <w:caps w:val="0"/>
          <w:color w:val="auto"/>
          <w:spacing w:val="0"/>
          <w:sz w:val="24"/>
          <w:szCs w:val="24"/>
          <w:shd w:val="clear" w:color="auto" w:fill="FFFFFF"/>
        </w:rPr>
        <w:t>以习近平新时代中国特色社会主义思想为指导，落实立德树人根本任务，聚焦高校内涵式发展，以强化高校教师思想政治素质和师德师风建设为首要任务，以提高教师专业素质能力为关键，以推进人事制度改革为突破口，遵循教育规律和教师成长发展规律，为提高人才培养质量、增强科研创新能力、服务国家经济社会发展提供坚强的师资保障。</w:t>
      </w:r>
    </w:p>
    <w:p w14:paraId="21DCFC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2.目标任务。</w:t>
      </w:r>
      <w:r>
        <w:rPr>
          <w:rFonts w:hint="eastAsia" w:ascii="仿宋" w:hAnsi="仿宋" w:eastAsia="仿宋" w:cs="仿宋"/>
          <w:i w:val="0"/>
          <w:iCs w:val="0"/>
          <w:caps w:val="0"/>
          <w:color w:val="auto"/>
          <w:spacing w:val="0"/>
          <w:sz w:val="24"/>
          <w:szCs w:val="24"/>
          <w:shd w:val="clear" w:color="auto" w:fill="FFFFFF"/>
        </w:rPr>
        <w:t>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14:paraId="3C59A8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二、全面加强党的领导，不断提升教师思想政治素质和师德素养</w:t>
      </w:r>
    </w:p>
    <w:p w14:paraId="7E6661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3.加强思想政治引领。</w:t>
      </w:r>
      <w:r>
        <w:rPr>
          <w:rFonts w:hint="eastAsia" w:ascii="仿宋" w:hAnsi="仿宋" w:eastAsia="仿宋" w:cs="仿宋"/>
          <w:i w:val="0"/>
          <w:iCs w:val="0"/>
          <w:caps w:val="0"/>
          <w:color w:val="auto"/>
          <w:spacing w:val="0"/>
          <w:sz w:val="24"/>
          <w:szCs w:val="24"/>
          <w:shd w:val="clear" w:color="auto" w:fill="FFFFFF"/>
        </w:rPr>
        <w:t>引导广大教师坚持“四个相统一”，争做“四有”好老师，当好“四个引路人”，增强“四个意识”、坚定“四个自信”、做到“两个维护”。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育德育人能力。加强民办高校思想政治建设，配齐建强民办高校思想政治工作队伍。</w:t>
      </w:r>
    </w:p>
    <w:p w14:paraId="2A1A40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4.培育弘扬高尚师德。</w:t>
      </w:r>
      <w:r>
        <w:rPr>
          <w:rFonts w:hint="eastAsia" w:ascii="仿宋" w:hAnsi="仿宋" w:eastAsia="仿宋" w:cs="仿宋"/>
          <w:b w:val="0"/>
          <w:bCs w:val="0"/>
          <w:i w:val="0"/>
          <w:iCs w:val="0"/>
          <w:caps w:val="0"/>
          <w:color w:val="auto"/>
          <w:spacing w:val="0"/>
          <w:sz w:val="24"/>
          <w:szCs w:val="24"/>
          <w:shd w:val="clear" w:color="auto" w:fill="FFFFFF"/>
        </w:rPr>
        <w:t>常</w:t>
      </w:r>
      <w:r>
        <w:rPr>
          <w:rFonts w:hint="eastAsia" w:ascii="仿宋" w:hAnsi="仿宋" w:eastAsia="仿宋" w:cs="仿宋"/>
          <w:i w:val="0"/>
          <w:iCs w:val="0"/>
          <w:caps w:val="0"/>
          <w:color w:val="auto"/>
          <w:spacing w:val="0"/>
          <w:sz w:val="24"/>
          <w:szCs w:val="24"/>
          <w:shd w:val="clear" w:color="auto" w:fill="FFFFFF"/>
        </w:rPr>
        <w:t>态化推进师德培育涵养，将各类师德规范纳入新教师岗前培训和在职教师全员培训必修内容。创新师德教育方式，通过榜样引领、情景体验、实践教育、师生互动等形式，激发教师涵养师德的内生动力。强化高校教师“四史”教育，规范学时要求，在一定周期内做到全员全覆盖。建好师德基地，构建师德教育课程体系。加大教师表彰力度，健全教师荣誉制度，高校可举办教师入职、荣休仪式，设立以教书育人为导向的奖励，激励教师潜心育人。鼓励社会组织和个人出资奖励教师。支持地方和高校建立优秀教师库，挖掘典型，强化宣传感召。持续推出主题鲜明、展现教师时代风貌的影视文学作品。</w:t>
      </w:r>
    </w:p>
    <w:p w14:paraId="5C5F73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5.强化师德考评落实。</w:t>
      </w:r>
      <w:r>
        <w:rPr>
          <w:rFonts w:hint="eastAsia" w:ascii="仿宋" w:hAnsi="仿宋" w:eastAsia="仿宋" w:cs="仿宋"/>
          <w:i w:val="0"/>
          <w:iCs w:val="0"/>
          <w:caps w:val="0"/>
          <w:color w:val="auto"/>
          <w:spacing w:val="0"/>
          <w:sz w:val="24"/>
          <w:szCs w:val="24"/>
          <w:shd w:val="clear" w:color="auto" w:fill="FFFFFF"/>
        </w:rPr>
        <w:t>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范问题。建立健全师德违规通报曝光机制，起到警示震慑作用。依托政法机关建立的全国性侵违法犯罪信息库等，建立教育行业从业限制制度。</w:t>
      </w:r>
    </w:p>
    <w:p w14:paraId="45ADD8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三、建设高校教师发展平台，着力提升教师专业素质能力</w:t>
      </w:r>
    </w:p>
    <w:p w14:paraId="48982E7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6.健全高校教师发展制度。</w:t>
      </w:r>
      <w:r>
        <w:rPr>
          <w:rFonts w:hint="eastAsia" w:ascii="仿宋" w:hAnsi="仿宋" w:eastAsia="仿宋" w:cs="仿宋"/>
          <w:i w:val="0"/>
          <w:iCs w:val="0"/>
          <w:caps w:val="0"/>
          <w:color w:val="auto"/>
          <w:spacing w:val="0"/>
          <w:sz w:val="24"/>
          <w:szCs w:val="24"/>
          <w:shd w:val="clear" w:color="auto" w:fill="FFFFFF"/>
        </w:rPr>
        <w:t>高校要健全教师发展体系，完善教师发展培训制度、保障制度、激励制度和督导制度，营造有利于教师可持续发展的良性环境。积极应对新科技对人才培养的挑战，提升教师运用信息技术改进教学的能力。鼓励支持高校教师进行国内外访学研修，参与国际交流合作。继续实施高校青年教师示范性培训项目、高职教师教学创新团队建设项目。探索教师培训学分管理，将培训学分纳入教师考核内容。</w:t>
      </w:r>
    </w:p>
    <w:p w14:paraId="693B7B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shd w:val="clear" w:color="auto" w:fill="FFFFFF"/>
        </w:rPr>
      </w:pPr>
      <w:r>
        <w:rPr>
          <w:rFonts w:hint="eastAsia" w:ascii="楷体" w:hAnsi="楷体" w:eastAsia="楷体" w:cs="楷体"/>
          <w:b/>
          <w:bCs/>
          <w:i w:val="0"/>
          <w:iCs w:val="0"/>
          <w:caps w:val="0"/>
          <w:color w:val="auto"/>
          <w:spacing w:val="0"/>
          <w:sz w:val="24"/>
          <w:szCs w:val="24"/>
          <w:shd w:val="clear" w:color="auto" w:fill="FFFFFF"/>
        </w:rPr>
        <w:t>7.夯实高校教师发展支持服务体系。</w:t>
      </w:r>
      <w:r>
        <w:rPr>
          <w:rFonts w:hint="eastAsia" w:ascii="仿宋" w:hAnsi="仿宋" w:eastAsia="仿宋" w:cs="仿宋"/>
          <w:i w:val="0"/>
          <w:iCs w:val="0"/>
          <w:caps w:val="0"/>
          <w:color w:val="auto"/>
          <w:spacing w:val="0"/>
          <w:sz w:val="24"/>
          <w:szCs w:val="24"/>
          <w:shd w:val="clear" w:color="auto" w:fill="FFFFFF"/>
        </w:rPr>
        <w:t>统筹教师研修、职业发展咨询、教育教学指导、学术发展、学习资源服务等职责，建实建强教师发展中心等平台，健全教师发展组织体系。高校要加强教师发展工作和人员专业化建设，加大教师发展的人员、资金、场地等资源投入，推动建设各级示范性教师发展中心。鼓励高校与大中型企事业单位共建教师培养培训基地，支持高校专业教师与行业企业人才队伍交流融合，提升教师实践能力和创新能力。发挥教学名师和教学成果奖的示范带动作用。</w:t>
      </w:r>
    </w:p>
    <w:p w14:paraId="3D7883C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四、完善现代高校教师管理制度，激发教师队伍创新活力</w:t>
      </w:r>
    </w:p>
    <w:p w14:paraId="0A64CB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8.完善高校教师聘用机制。</w:t>
      </w:r>
      <w:r>
        <w:rPr>
          <w:rFonts w:hint="eastAsia" w:ascii="仿宋" w:hAnsi="仿宋" w:eastAsia="仿宋" w:cs="仿宋"/>
          <w:i w:val="0"/>
          <w:iCs w:val="0"/>
          <w:caps w:val="0"/>
          <w:color w:val="auto"/>
          <w:spacing w:val="0"/>
          <w:sz w:val="24"/>
          <w:szCs w:val="24"/>
          <w:shd w:val="clear" w:color="auto" w:fill="FFFFFF"/>
        </w:rPr>
        <w:t>充分落实高校用人自主权，政府各有关部门不统一组织高校人员聘用考试，简化进人程序。高校根据国家有关规定和办学实际需要，自主制定教师聘用条件，自主公开招聘教师。不得将毕业院校、出国（境）学习经历、学习方式和论文、专利等作为限制性条件。严把高校教师选拔聘用入口关，将思想政治素质和业务能力双重考察落到实处。建立新教师岗前培训与高校教师资格相衔接的制度。拓宽选人用人渠道，加大从国内外行业企业、专业组织等吸引优秀人才力度。按要求配齐配优建强高校思政课教师队伍和辅导员队伍。探索将行业企业从业经历、社会实践经历作为聘用职业院校专业课教师的重要条件。研究出台外籍教师聘任和管理办法，规范外籍教师管理。</w:t>
      </w:r>
    </w:p>
    <w:p w14:paraId="1348BA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9.加快高校教师编制岗位管理改革。</w:t>
      </w:r>
      <w:r>
        <w:rPr>
          <w:rFonts w:hint="eastAsia" w:ascii="仿宋" w:hAnsi="仿宋" w:eastAsia="仿宋" w:cs="仿宋"/>
          <w:i w:val="0"/>
          <w:iCs w:val="0"/>
          <w:caps w:val="0"/>
          <w:color w:val="auto"/>
          <w:spacing w:val="0"/>
          <w:sz w:val="24"/>
          <w:szCs w:val="24"/>
          <w:shd w:val="clear" w:color="auto" w:fill="FFFFFF"/>
        </w:rPr>
        <w:t>积极探索实行高校人员总量管理。高校依法采取多元化聘用方式自主灵活用人，统筹用好编制资源，优先保障教学科研需求，向重点学科、特色学科和重要管理岗位倾斜。合理设置教职员岗位结构比例，加强职员队伍建设。深入推进岗位聘用改革，实施岗位聘期制管理，进一步探索准聘与长聘相结合等管理方式，落实和完善能上能下、能进能出的聘用机制。</w:t>
      </w:r>
    </w:p>
    <w:p w14:paraId="6747FF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10.强化高校教师教育教学管理。</w:t>
      </w:r>
      <w:r>
        <w:rPr>
          <w:rFonts w:hint="eastAsia" w:ascii="仿宋" w:hAnsi="仿宋" w:eastAsia="仿宋" w:cs="仿宋"/>
          <w:i w:val="0"/>
          <w:iCs w:val="0"/>
          <w:caps w:val="0"/>
          <w:color w:val="auto"/>
          <w:spacing w:val="0"/>
          <w:sz w:val="24"/>
          <w:szCs w:val="24"/>
          <w:shd w:val="clear" w:color="auto" w:fill="FFFFFF"/>
        </w:rPr>
        <w:t>完善教学质量评价制度，多维度考评教学规范、教学运行、课堂教学效果、教学改革与研究、教学获奖等教学工作实绩。强化教学业绩和教书育人实效在绩效分配、职务职称评聘、岗位晋级考核中的比重，把承担一定量的本（专）科教学工作作为教师职称晋升的必要条件。将教授为本专科生上课作为基本制度，高校应明确教授承担本专科生教学最低课时要求，对未达到要求的给予年度或聘期考核不合格处理。</w:t>
      </w:r>
    </w:p>
    <w:p w14:paraId="53A4D9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11.推进高校教师职称制度改革。</w:t>
      </w:r>
      <w:r>
        <w:rPr>
          <w:rFonts w:hint="eastAsia" w:ascii="仿宋" w:hAnsi="仿宋" w:eastAsia="仿宋" w:cs="仿宋"/>
          <w:i w:val="0"/>
          <w:iCs w:val="0"/>
          <w:caps w:val="0"/>
          <w:color w:val="auto"/>
          <w:spacing w:val="0"/>
          <w:sz w:val="24"/>
          <w:szCs w:val="24"/>
          <w:shd w:val="clear" w:color="auto" w:fill="FFFFFF"/>
        </w:rPr>
        <w:t>研究出台高校教师职称制度改革的指导意见，将职称评审权直接下放至高校，由高校自主评审、按岗聘任。完善教师职称评审标准，根据不同学科、不同岗位特点，分类设置评价指标，确定评审办法。不把出国（境）学习经历、专利数量和对论文的索引、收录、引用等指标要求作为限制性条件。完善同行专家评价机制，推行代表性成果评价。对承担国防和关键核心技术攻关任务的教师，探索引入贡献评价机制。完善职称评审程序，持续做好高校教师职称评审监管。</w:t>
      </w:r>
    </w:p>
    <w:p w14:paraId="507EB5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12.深化高校教师考核评价制度改革。</w:t>
      </w:r>
      <w:r>
        <w:rPr>
          <w:rFonts w:hint="eastAsia" w:ascii="仿宋" w:hAnsi="仿宋" w:eastAsia="仿宋" w:cs="仿宋"/>
          <w:i w:val="0"/>
          <w:iCs w:val="0"/>
          <w:caps w:val="0"/>
          <w:color w:val="auto"/>
          <w:spacing w:val="0"/>
          <w:sz w:val="24"/>
          <w:szCs w:val="24"/>
          <w:shd w:val="clear" w:color="auto" w:fill="FFFFFF"/>
        </w:rPr>
        <w:t>突出质量导向，注重凭能力、实绩和贡献评价教师，坚决扭转轻教学、轻育人等倾向，克服唯论文、唯帽子、唯职称、唯学历、唯奖项等弊病。规范高等学校SCI等论文相关指标使用，避免SCI、SSCI、A&amp;HCI、CSSCI等引文数据使用中的绝对化，坚决摒弃“以刊评文”，破除论文“SCI至上”。合理设置考核评价周期，探索长周期评价。注重个体评价与团队评价相结合。建立考核评价结果分级反馈机制。建立院校评估、本科教学评估、学科评估和教师评价政策联动机制，优化、调整制约和影响教师考核评价政策落实的评价指标。</w:t>
      </w:r>
    </w:p>
    <w:p w14:paraId="09738D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13.建立健全教师兼职和兼职教师管理制度。</w:t>
      </w:r>
      <w:r>
        <w:rPr>
          <w:rFonts w:hint="eastAsia" w:ascii="仿宋" w:hAnsi="仿宋" w:eastAsia="仿宋" w:cs="仿宋"/>
          <w:i w:val="0"/>
          <w:iCs w:val="0"/>
          <w:caps w:val="0"/>
          <w:color w:val="auto"/>
          <w:spacing w:val="0"/>
          <w:sz w:val="24"/>
          <w:szCs w:val="24"/>
          <w:shd w:val="clear" w:color="auto" w:fill="FFFFFF"/>
        </w:rPr>
        <w:t>高校教师在履行校内岗位职责、不影响本职工作的前提下，经学校同意，可在校外兼职从事与本人学科密切相关、并能发挥其专业能力的工作。地方和高校应建立健全教师兼职管理制度，规范教师合理兼职，坚决惩治教师兼职乱象。鼓励高校聘请校外专家学者等担任兼职教师，完善兼职教师管理办法，规范遴选聘用程序，明确兼职教师的标准、责任、权利和工作要求，确保兼职教师具有较高的师德素养、业务能力和育人水平。</w:t>
      </w:r>
    </w:p>
    <w:p w14:paraId="0F12E2A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五、切实保障高校教师待遇，吸引稳定一流人才从教</w:t>
      </w:r>
    </w:p>
    <w:p w14:paraId="7DB16C4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14.推进高校薪酬制度改革。</w:t>
      </w:r>
      <w:r>
        <w:rPr>
          <w:rFonts w:hint="eastAsia" w:ascii="仿宋" w:hAnsi="仿宋" w:eastAsia="仿宋" w:cs="仿宋"/>
          <w:i w:val="0"/>
          <w:iCs w:val="0"/>
          <w:caps w:val="0"/>
          <w:color w:val="auto"/>
          <w:spacing w:val="0"/>
          <w:sz w:val="24"/>
          <w:szCs w:val="24"/>
          <w:shd w:val="clear" w:color="auto" w:fill="FFFFFF"/>
        </w:rPr>
        <w:t>落实以增加知识价值为导向的收入分配政策，扩大高校工资分配自主权，探索建立符合高校特点的薪酬制度。探索建立高校薪酬水平调查比较制度，健全完善高校工资水平决定和正常增长机制，在保障基本工资水平正常调整的基础上，合理确定高校教师工资收入水平，并向高层次人才密集、承担教学科研任务较重的高校加大倾斜力度。高校教师依法取得的职务科技成果转化现金奖励计入当年本单位绩效工资总量，但不受总量限制，不纳入总量基数。落实高层次人才工资收入分配激励、兼职兼薪和离岗创业等政策规定。鼓励高校设立由第三方出资的讲席教授岗位。</w:t>
      </w:r>
    </w:p>
    <w:p w14:paraId="1233B15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15.完善高校内部收入分配激励机制。</w:t>
      </w:r>
      <w:r>
        <w:rPr>
          <w:rFonts w:hint="eastAsia" w:ascii="仿宋" w:hAnsi="仿宋" w:eastAsia="仿宋" w:cs="仿宋"/>
          <w:i w:val="0"/>
          <w:iCs w:val="0"/>
          <w:caps w:val="0"/>
          <w:color w:val="auto"/>
          <w:spacing w:val="0"/>
          <w:sz w:val="24"/>
          <w:szCs w:val="24"/>
          <w:shd w:val="clear" w:color="auto" w:fill="FFFFFF"/>
        </w:rPr>
        <w:t>落实高校内部分配自主权，高校要结合实际健全内部收入分配机制，完善绩效考核办法，向扎根教学一线、业绩突出的教师倾斜，向承担急难险重任务、作出突出贡献的教师倾斜，向从事基础前沿研究、国防科技等领域的教师倾斜。把参与教研活动，编写教材案例，承担命题监考任务，指导学生毕业设计、就业、创新创业、社会实践、学生社团、竞赛展演等情况计入工作量。激励优秀教师承担继续教育的教学工作，将相关工作量纳入绩效考核体系。不将论文数、专利数、项目数、课题经费等科研量化指标与绩效工资分配、奖励直接挂钩，切实发挥收入分配政策的激励导向作用。</w:t>
      </w:r>
    </w:p>
    <w:p w14:paraId="3AE2473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六、优化完善人才管理服务体系，培养造就一批高层次创新人才</w:t>
      </w:r>
    </w:p>
    <w:p w14:paraId="7E9A4B3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16.优化人才引育体系。</w:t>
      </w:r>
      <w:r>
        <w:rPr>
          <w:rFonts w:hint="eastAsia" w:ascii="仿宋" w:hAnsi="仿宋" w:eastAsia="仿宋" w:cs="仿宋"/>
          <w:i w:val="0"/>
          <w:iCs w:val="0"/>
          <w:caps w:val="0"/>
          <w:color w:val="auto"/>
          <w:spacing w:val="0"/>
          <w:sz w:val="24"/>
          <w:szCs w:val="24"/>
          <w:shd w:val="clear" w:color="auto" w:fill="FFFFFF"/>
        </w:rPr>
        <w:t>强化服务国家战略导向，加强人才体系顶层设计，发挥好国家重大人才工程的引领作用，着力打造高水平创新团队，培养一批具有国际影响力的科学家、学科领军人才和青年学术英才。规范人才引进，严把政治关、师德关，做到“凡引必审”。加强高校哲学社会科学人才和高端智库建设，汇聚培养一批哲学社会科学名师。坚持正确的人才流动导向，鼓励高校建立行业自律机制和人才流动协商沟通机制，发挥高校人才工作联盟作用。坚决杜绝违规引进人才，未经人才计划主管部门同意，在支持周期内离开相关单位和岗位的，取消人才称号及相应支持。</w:t>
      </w:r>
    </w:p>
    <w:p w14:paraId="2D49A31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17.科学合理使用人才。</w:t>
      </w:r>
      <w:r>
        <w:rPr>
          <w:rFonts w:hint="eastAsia" w:ascii="仿宋" w:hAnsi="仿宋" w:eastAsia="仿宋" w:cs="仿宋"/>
          <w:i w:val="0"/>
          <w:iCs w:val="0"/>
          <w:caps w:val="0"/>
          <w:color w:val="auto"/>
          <w:spacing w:val="0"/>
          <w:sz w:val="24"/>
          <w:szCs w:val="24"/>
          <w:shd w:val="clear" w:color="auto" w:fill="FFFFFF"/>
        </w:rPr>
        <w:t>充分发挥好人才战略资源作用，坚持正确的人才使用导向，分类推进人才评价机制改革，推动各类人才“帽子”、人才称号回归荣誉、回归学术的本质，避免同类人才计划重复支持，以岗择人、按岗定酬，不把人才称号作为承担科研项目、职称评聘、评优评奖、学位点申报的限制性条件。营造鼓励创新、宽容失败的学术环境，为人才开展研究留出足够的探索时间和试错空间。严格人才聘后管理，强化对合同履行和作用发挥情况的考核。加强对人才的关怀和服务，切实解决他们工作生活中的实际困难。</w:t>
      </w:r>
    </w:p>
    <w:p w14:paraId="69FF0FF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七、全力支持青年教师成长，培育高等教育事业生力军</w:t>
      </w:r>
    </w:p>
    <w:p w14:paraId="7B2962E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18.强化青年教师培养支持。</w:t>
      </w:r>
      <w:r>
        <w:rPr>
          <w:rFonts w:hint="eastAsia" w:ascii="仿宋" w:hAnsi="仿宋" w:eastAsia="仿宋" w:cs="仿宋"/>
          <w:i w:val="0"/>
          <w:iCs w:val="0"/>
          <w:caps w:val="0"/>
          <w:color w:val="auto"/>
          <w:spacing w:val="0"/>
          <w:sz w:val="24"/>
          <w:szCs w:val="24"/>
          <w:shd w:val="clear" w:color="auto" w:fill="FFFFFF"/>
        </w:rPr>
        <w:t>鼓励高校扩大博士后招收培养数量，将博士后人员作为补充师资的重要来源。建立青年教师多元补充机制，大力吸引出国留学人员和外籍优秀青年人才。鼓励青年教师到企事业单位挂职锻炼和到国内外高水平大学、科研院所访学。鼓励高校对优秀青年人才破格晋升、大胆使用。根据学科特点确定青年教师评价考核周期，鼓励大胆创新、持续研究。高校青年教师晋升高一级职称，至少须有一年担任辅导员、班主任等学生工作经历，或支教、扶贫、参加孔子学院及国际组织援外交流等工作经历。</w:t>
      </w:r>
    </w:p>
    <w:p w14:paraId="03E3DB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19.解决青年教师后顾之忧。</w:t>
      </w:r>
      <w:r>
        <w:rPr>
          <w:rFonts w:hint="eastAsia" w:ascii="仿宋" w:hAnsi="仿宋" w:eastAsia="仿宋" w:cs="仿宋"/>
          <w:i w:val="0"/>
          <w:iCs w:val="0"/>
          <w:caps w:val="0"/>
          <w:color w:val="auto"/>
          <w:spacing w:val="0"/>
          <w:sz w:val="24"/>
          <w:szCs w:val="24"/>
          <w:shd w:val="clear" w:color="auto" w:fill="FFFFFF"/>
        </w:rPr>
        <w:t>地方和高校要加强统筹协调，对符合公租房保障条件的，按政策规定予以保障，同时，通过发展租赁住房、盘活挖掘校内存量资源、发放补助等多种方式，切实解决青年教师的住房困难。鼓励采取多种办法提高青年教师待遇，确保青年教师将精力放在教学科研上。鼓励高校与社会力量、政府合作举办幼儿园和中小学，解决青年教师子女入托入学问题。重视青年教师身心健康，关心关爱青年教师。</w:t>
      </w:r>
    </w:p>
    <w:p w14:paraId="155D588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shd w:val="clear" w:color="auto" w:fill="FFFFFF"/>
        </w:rPr>
      </w:pPr>
      <w:r>
        <w:rPr>
          <w:rFonts w:hint="eastAsia" w:ascii="黑体" w:hAnsi="黑体" w:eastAsia="黑体" w:cs="黑体"/>
          <w:b/>
          <w:bCs/>
          <w:i w:val="0"/>
          <w:iCs w:val="0"/>
          <w:caps w:val="0"/>
          <w:color w:val="auto"/>
          <w:spacing w:val="0"/>
          <w:sz w:val="24"/>
          <w:szCs w:val="24"/>
          <w:shd w:val="clear" w:color="auto" w:fill="FFFFFF"/>
        </w:rPr>
        <w:t>八、强化工作保障，确保各项政策举措落地见效</w:t>
      </w:r>
    </w:p>
    <w:p w14:paraId="028AD6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shd w:val="clear" w:color="auto" w:fill="FFFFFF"/>
        </w:rPr>
        <w:t>20.健全组织保障体系。</w:t>
      </w:r>
      <w:r>
        <w:rPr>
          <w:rFonts w:hint="eastAsia" w:ascii="仿宋" w:hAnsi="仿宋" w:eastAsia="仿宋" w:cs="仿宋"/>
          <w:i w:val="0"/>
          <w:iCs w:val="0"/>
          <w:caps w:val="0"/>
          <w:color w:val="auto"/>
          <w:spacing w:val="0"/>
          <w:sz w:val="24"/>
          <w:szCs w:val="24"/>
          <w:shd w:val="clear" w:color="auto" w:fill="FFFFFF"/>
        </w:rPr>
        <w:t>将建设高素质教师队伍作为高校建设的基础性工作，强化学校主体责任，健全党委统一领导、统筹协调，教师工作、组织、宣传、人事、教务、科研等部门各负其责、协同配合的工作机制。建立领导干部联系教师制度，定期听取教师意见和建议。落实教职工代表大会制度，依法保障教师知情权、参与权、表达权和监督权。加强民办高校教师队伍建设，依法保障民办高校教师与公办高校教师同等法律地位和同等权利。强化督导考核，把加强教师队伍建设工作纳入高校巡视、“双一流”建设、教学科研评估范围，作为各级党组织和党员干部工作考核的重要内容。加强优秀教师和工作典型宣传，维护教师合法权益，营造关心支持教师发展的社会环境，形成全社会尊师重教的良好氛围。</w:t>
      </w:r>
    </w:p>
    <w:p w14:paraId="4096D7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p>
    <w:p w14:paraId="588E8F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shd w:val="clear" w:color="auto" w:fill="FFFFFF"/>
        </w:rPr>
      </w:pPr>
    </w:p>
    <w:p w14:paraId="78C5E65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教育部 中央组织部 中央宣传部</w:t>
      </w:r>
    </w:p>
    <w:p w14:paraId="010998D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财政部 人力资源社会保障部 住房和城乡建设部</w:t>
      </w:r>
    </w:p>
    <w:p w14:paraId="6DDB2E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color="auto" w:fill="FFFFFF"/>
        </w:rPr>
        <w:t>2020年12月24日</w:t>
      </w:r>
    </w:p>
    <w:p w14:paraId="5C23AB1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outlineLvl w:val="1"/>
        <w:rPr>
          <w:rFonts w:hint="eastAsia" w:ascii="宋体" w:hAnsi="宋体" w:eastAsia="宋体" w:cs="宋体"/>
          <w:b/>
          <w:bCs/>
          <w:i w:val="0"/>
          <w:iCs w:val="0"/>
          <w:caps w:val="0"/>
          <w:color w:val="auto"/>
          <w:spacing w:val="0"/>
          <w:sz w:val="36"/>
          <w:szCs w:val="36"/>
          <w:u w:val="none"/>
          <w:shd w:val="clear" w:color="auto" w:fill="FFFFFF"/>
        </w:rPr>
      </w:pPr>
      <w:r>
        <w:rPr>
          <w:rFonts w:hint="eastAsia" w:ascii="仿宋" w:hAnsi="仿宋" w:eastAsia="仿宋" w:cs="仿宋"/>
          <w:color w:val="auto"/>
          <w:sz w:val="24"/>
          <w:szCs w:val="24"/>
        </w:rPr>
        <w:br w:type="page"/>
      </w:r>
      <w:bookmarkStart w:id="14" w:name="_Toc23044"/>
      <w:bookmarkStart w:id="15" w:name="_Toc19291"/>
      <w:r>
        <w:rPr>
          <w:rFonts w:hint="eastAsia" w:ascii="宋体" w:hAnsi="宋体" w:eastAsia="宋体" w:cs="宋体"/>
          <w:b/>
          <w:bCs/>
          <w:i w:val="0"/>
          <w:iCs w:val="0"/>
          <w:caps w:val="0"/>
          <w:color w:val="auto"/>
          <w:spacing w:val="0"/>
          <w:sz w:val="36"/>
          <w:szCs w:val="36"/>
          <w:u w:val="none"/>
          <w:shd w:val="clear" w:color="auto" w:fill="FFFFFF"/>
        </w:rPr>
        <w:t>关于加强新时代高技能人才队伍建设的意见</w:t>
      </w:r>
      <w:bookmarkEnd w:id="14"/>
      <w:bookmarkEnd w:id="15"/>
    </w:p>
    <w:p w14:paraId="5DF103F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rPr>
        <w:t>技能人才是支撑中国制造、中国创造的重要力量。加强高级工以上的高技能人才队伍建设，对巩固和发展工人阶级先进性，增强国家核心竞争力和科技创新能力，缓解就业结构性矛盾，推动高质量发展具有重要意义。为贯彻落实党中央、国务院决策部署，加强新时代高技能人才队伍建设，现提出如下意见。</w:t>
      </w:r>
    </w:p>
    <w:p w14:paraId="3A6A49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黑体" w:hAnsi="黑体" w:eastAsia="黑体" w:cs="黑体"/>
          <w:b/>
          <w:bCs/>
          <w:i w:val="0"/>
          <w:iCs w:val="0"/>
          <w:caps w:val="0"/>
          <w:color w:val="auto"/>
          <w:spacing w:val="0"/>
          <w:sz w:val="24"/>
          <w:szCs w:val="24"/>
        </w:rPr>
        <w:t>一、总体要求</w:t>
      </w:r>
    </w:p>
    <w:p w14:paraId="0E24C27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（一）指导思想。</w:t>
      </w:r>
      <w:r>
        <w:rPr>
          <w:rFonts w:hint="eastAsia" w:ascii="仿宋" w:hAnsi="仿宋" w:eastAsia="仿宋" w:cs="仿宋"/>
          <w:i w:val="0"/>
          <w:iCs w:val="0"/>
          <w:caps w:val="0"/>
          <w:color w:val="auto"/>
          <w:spacing w:val="0"/>
          <w:sz w:val="24"/>
          <w:szCs w:val="24"/>
        </w:rPr>
        <w:t>以习近平新时代中国特色社会主义思想为指导，深入贯彻党的十九大和十九届历次全会精神，全面贯彻习近平总书记关于做好新时代人才工作的重要思想，坚持党管人才，立足新发展阶段，贯彻新发展理念，服务构建新发展格局，推动高质量发展，深入实施新时代人才强国战略，以服务发展、稳定就业为导向，大力弘扬劳模精神、劳动精神、工匠精神，全面实施“技能中国行动”，健全技能人才培养、使用、评价、激励制度，构建党委领导、政府主导、政策支持、企业主体、社会参与的高技能人才工作体系，打造一支爱党报国、敬业奉献、技艺精湛、素质优良、规模宏大、结构合理的高技能人才队伍。</w:t>
      </w:r>
    </w:p>
    <w:p w14:paraId="03CD52C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（二）目标任务。</w:t>
      </w:r>
      <w:r>
        <w:rPr>
          <w:rFonts w:hint="eastAsia" w:ascii="仿宋" w:hAnsi="仿宋" w:eastAsia="仿宋" w:cs="仿宋"/>
          <w:i w:val="0"/>
          <w:iCs w:val="0"/>
          <w:caps w:val="0"/>
          <w:color w:val="auto"/>
          <w:spacing w:val="0"/>
          <w:sz w:val="24"/>
          <w:szCs w:val="24"/>
        </w:rPr>
        <w:t>到“十四五”时期末，高技能人才制度政策更加健全、培养体系更加完善、岗位使用更加合理、评价机制更加科学、激励保障更加有力，尊重技能尊重劳动的社会氛围更加浓厚，技能人才规模不断壮大、素质稳步提升、结构持续优化、收入稳定增加，技能人才占就业人员的比例达到30%以上，高技能人才占技能人才的比例达到1/3，东部省份高技能人才占技能人才的比例达到35%。力争到2035年，技能人才规模持续壮大、素质大幅提高，高技能人才数量、结构与基本实现社会主义现代化的要求相适应。</w:t>
      </w:r>
    </w:p>
    <w:p w14:paraId="0976A5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楷体" w:hAnsi="楷体" w:eastAsia="楷体" w:cs="楷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二、加大高技能人才培养力度</w:t>
      </w:r>
    </w:p>
    <w:p w14:paraId="7A0AD41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（三）健全高技能人才培养体系。</w:t>
      </w:r>
      <w:r>
        <w:rPr>
          <w:rFonts w:hint="eastAsia" w:ascii="仿宋" w:hAnsi="仿宋" w:eastAsia="仿宋" w:cs="仿宋"/>
          <w:i w:val="0"/>
          <w:iCs w:val="0"/>
          <w:caps w:val="0"/>
          <w:color w:val="auto"/>
          <w:spacing w:val="0"/>
          <w:sz w:val="24"/>
          <w:szCs w:val="24"/>
        </w:rPr>
        <w:t>构建以行业企业为主体、职业学校（含技工院校，下同）为基础、政府推动与社会支持相结合的高技能人才培养体系。行业主管部门和行业组织要结合本行业生产、技术发展趋势，做好高技能人才供需预测和培养规划。鼓励各类企业结合实际把高技能人才培养纳入企业发展总体规划和年度计划，依托企业培训中心、产教融合实训基地、高技能人才培训基地、公共实训基地、技能大师工作室、劳模和工匠人才创新工作室、网络学习平台等，大力培养高技能人才。国有企业要结合实际将高技能人才培养规划的制定和实施情况纳入考核评价体系。鼓励各类企业事业组织、社会团体及其他社会组织以独资、合资、合作等方式依法参与举办职业教育培训机构，积极参与承接政府购买服务。对纳入产教融合型企业建设培育范围的企业兴办职业教育符合条件的投资，可依据有关规定按投资额的30%抵免当年应缴教育费附加和地方教育附加。</w:t>
      </w:r>
    </w:p>
    <w:p w14:paraId="6810827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（四）创新高技能人才培养模式。</w:t>
      </w:r>
      <w:r>
        <w:rPr>
          <w:rFonts w:hint="eastAsia" w:ascii="仿宋" w:hAnsi="仿宋" w:eastAsia="仿宋" w:cs="仿宋"/>
          <w:i w:val="0"/>
          <w:iCs w:val="0"/>
          <w:caps w:val="0"/>
          <w:color w:val="auto"/>
          <w:spacing w:val="0"/>
          <w:sz w:val="24"/>
          <w:szCs w:val="24"/>
        </w:rPr>
        <w:t>探索中国特色学徒制。深化产教融合、校企合作，开展订单式培养、套餐制培训，创新校企双制、校中厂、厂中校等方式。对联合培养高技能人才成效显著的企业，各级政府按规定予以表扬和相应政策支持。完善项目制培养模式，针对不同类别不同群体高技能人才实施差异化培养项目。鼓励通过名师带徒、技能研修、岗位练兵、技能竞赛、技术交流等形式，开放式培训高技能人才。建立技能人才继续教育制度，推广求学圆梦行动，定期组织开展研修交流活动，促进技能人才知识更新与技术创新、工艺改造、产业优化升级要求相适应。</w:t>
      </w:r>
    </w:p>
    <w:p w14:paraId="70C0AF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（五）加大急需紧缺高技能人才培养力度。</w:t>
      </w:r>
      <w:r>
        <w:rPr>
          <w:rFonts w:hint="eastAsia" w:ascii="仿宋" w:hAnsi="仿宋" w:eastAsia="仿宋" w:cs="仿宋"/>
          <w:i w:val="0"/>
          <w:iCs w:val="0"/>
          <w:caps w:val="0"/>
          <w:color w:val="auto"/>
          <w:spacing w:val="0"/>
          <w:sz w:val="24"/>
          <w:szCs w:val="24"/>
        </w:rPr>
        <w:t>围绕国家重大战略、重大工程、重大项目、重点产业对高技能人才的需求，实施高技能领军人才培育计划。支持制造业企业围绕转型升级和产业基础再造工程项目，实施制造业技能根基工程。围绕建设网络强国、数字中国，实施提升全民数字素养与技能行动，建立一批数字技能人才培养试验区，打造一批数字素养与技能提升培训基地，举办全民数字素养与技能提升活动，实施数字教育培训资源开放共享行动。围绕乡村振兴战略，实施乡村工匠培育计划，挖掘、保护和传承民间传统技艺，打造一批“工匠园区”。</w:t>
      </w:r>
    </w:p>
    <w:p w14:paraId="5EB28DD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（六）发挥职业学校培养高技能人才的基础性作用。</w:t>
      </w:r>
      <w:r>
        <w:rPr>
          <w:rFonts w:hint="eastAsia" w:ascii="仿宋" w:hAnsi="仿宋" w:eastAsia="仿宋" w:cs="仿宋"/>
          <w:i w:val="0"/>
          <w:iCs w:val="0"/>
          <w:caps w:val="0"/>
          <w:color w:val="auto"/>
          <w:spacing w:val="0"/>
          <w:sz w:val="24"/>
          <w:szCs w:val="24"/>
        </w:rPr>
        <w:t>优化职业教育类型、院校布局和专业设置。采取中等职业学校和普通高中同批次并行招生等措施，稳定中等职业学校招生规模。在技工院校中普遍推行工学一体化技能人才培养模式。允许职业学校开展有偿性社会培训、技术服务或创办企业，所取得的收入可按一定比例作为办学经费自主安排使用；公办职业学校所取得的收入可按一定比例作为绩效工资来源，用于支付本校教师和其他培训教师的劳动报酬。合理保障职业学校师资受公派临时出国（境）参加培训访学、进修学习、技能交流等学术交流活动相关费用。切实保障职业学校学生在升学、就业、职业发展等方面与同层次普通学校学生享有平等机会。实施现代职业教育质量提升计划，支持职业学校改善办学条件。</w:t>
      </w:r>
    </w:p>
    <w:p w14:paraId="49D5D3E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（七）优化高技能人才培养资源和服务供给。</w:t>
      </w:r>
      <w:r>
        <w:rPr>
          <w:rFonts w:hint="eastAsia" w:ascii="仿宋" w:hAnsi="仿宋" w:eastAsia="仿宋" w:cs="仿宋"/>
          <w:i w:val="0"/>
          <w:iCs w:val="0"/>
          <w:caps w:val="0"/>
          <w:color w:val="auto"/>
          <w:spacing w:val="0"/>
          <w:sz w:val="24"/>
          <w:szCs w:val="24"/>
        </w:rPr>
        <w:t>实施国家乡村振兴重点帮扶地区职业技能提升工程，加大东西部协作和对口帮扶力度。健全公共职业技能培训体系，实施职业技能培训共建共享行动，开展县域职业技能培训共建共享试点。加快探索“互联网+职业技能培训”，构建线上线下相结合的培训模式。依托“金保工程”，加快推进职业技能培训实名制管理工作，建立以社会保障卡为载体的劳动者终身职业技能培训电子档案。</w:t>
      </w:r>
    </w:p>
    <w:p w14:paraId="233F992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三、完善技能导向的使用制度</w:t>
      </w:r>
    </w:p>
    <w:p w14:paraId="587D8B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（八）健全高技能人才岗位使用机制。</w:t>
      </w:r>
      <w:r>
        <w:rPr>
          <w:rFonts w:hint="eastAsia" w:ascii="仿宋" w:hAnsi="仿宋" w:eastAsia="仿宋" w:cs="仿宋"/>
          <w:i w:val="0"/>
          <w:iCs w:val="0"/>
          <w:caps w:val="0"/>
          <w:color w:val="auto"/>
          <w:spacing w:val="0"/>
          <w:sz w:val="24"/>
          <w:szCs w:val="24"/>
        </w:rPr>
        <w:t>企业可设立技能津贴、班组长津贴、带徒津贴等，支持鼓励高技能人才在岗位上发挥技能、管理班组、带徒传技。鼓励企业根据需要，建立高技能领军人才“揭榜领题”以及参与重大生产决策、重大技术革新和技术攻关项目的制度。实行“技师+工程师”等团队合作模式，在科研和技术攻关中发挥高技能人才创新能力。鼓励支持高技能人才兼任职业学校实习实训指导教师。注重青年高技能人才选用。高技能人才配置状况应作为生产经营性企业及其他实体参加重大工程项目招投标、评优和资质评估的重要因素。</w:t>
      </w:r>
    </w:p>
    <w:p w14:paraId="7C758D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（九）完善技能要素参与分配制度。</w:t>
      </w:r>
      <w:r>
        <w:rPr>
          <w:rFonts w:hint="eastAsia" w:ascii="仿宋" w:hAnsi="仿宋" w:eastAsia="仿宋" w:cs="仿宋"/>
          <w:i w:val="0"/>
          <w:iCs w:val="0"/>
          <w:caps w:val="0"/>
          <w:color w:val="auto"/>
          <w:spacing w:val="0"/>
          <w:sz w:val="24"/>
          <w:szCs w:val="24"/>
        </w:rPr>
        <w:t>引导企业建立健全基于岗位价值、能力素质和业绩贡献的技能人才薪酬分配制度，实现多劳者多得、技高者多得，促进人力资源优化配置。国有企业在工资分配上要发挥向技能人才倾斜的示范作用。完善企业薪酬调查和信息发布制度，鼓励有条件的地区发布分职业（工种、岗位）、分技能等级的工资价位信息，为企业与技能人才协商确定工资水平提供信息参考。用人单位在聘的高技能人才在学习进修、岗位聘任、职务晋升、工资福利等方面，分别比照相应层级专业技术人员享受同等待遇。完善科技成果转化收益分享机制，对在技术革新或技术攻关中作出突出贡献的高技能人才给予奖励。高技能人才可实行年薪制、协议工资制，企业可对作出突出贡献的优秀高技能人才实行特岗特酬，鼓励符合条件的企业积极运用中长期激励工具，加大对高技能人才的激励力度。畅通为高技能人才建立企业年金的机制，鼓励和引导企业为包括高技能人才在内的职工建立企业年金。完善高技能特殊人才特殊待遇政策。</w:t>
      </w:r>
    </w:p>
    <w:p w14:paraId="72B83E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82" w:firstLineChars="20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（十）完善技能人才稳才留才引才机制。</w:t>
      </w:r>
      <w:r>
        <w:rPr>
          <w:rFonts w:hint="eastAsia" w:ascii="仿宋" w:hAnsi="仿宋" w:eastAsia="仿宋" w:cs="仿宋"/>
          <w:i w:val="0"/>
          <w:iCs w:val="0"/>
          <w:caps w:val="0"/>
          <w:color w:val="auto"/>
          <w:spacing w:val="0"/>
          <w:sz w:val="24"/>
          <w:szCs w:val="24"/>
        </w:rPr>
        <w:t>鼓励和引导企业关心关爱技能人才，依法保障技能人才合法权益，合理确定劳动报酬。健全人才服务体系，促进技能人才合理流动，提高技能人才配置效率。建立健全技能人才柔性流动机制，鼓励技能人才通过兼职、服务、技术攻关、项目合作等方式更好发挥作用。畅通高技能人才向专业技术岗位或管理岗位流动渠道。引导企业规范开展共享用工。支持各地结合产业发展需求实际，将急需紧缺技能人才纳入人才引进目录，引导技能人才向欠发达地区、基层一线流动。支持各地将高技能人才纳入城市直接落户范围，高技能人才的配偶、子女按有关规定享受公共就业、教育、住房等保障服务。</w:t>
      </w:r>
    </w:p>
    <w:p w14:paraId="3ECC02A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四、建立技能人才职业技能等级制度和多元化评价机制</w:t>
      </w:r>
    </w:p>
    <w:p w14:paraId="40BA37C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（十一）拓宽技能人才职业发展通道。</w:t>
      </w:r>
      <w:r>
        <w:rPr>
          <w:rFonts w:hint="eastAsia" w:ascii="仿宋" w:hAnsi="仿宋" w:eastAsia="仿宋" w:cs="仿宋"/>
          <w:i w:val="0"/>
          <w:iCs w:val="0"/>
          <w:caps w:val="0"/>
          <w:color w:val="auto"/>
          <w:spacing w:val="0"/>
          <w:sz w:val="24"/>
          <w:szCs w:val="24"/>
        </w:rPr>
        <w:t>建立健全技能人才职业技能等级制度。对设有高级技师的职业（工种），可在其上增设特级技师和首席技师技术职务（岗位），在初级工之下补设学徒工，形成由学徒工、初级工、中级工、高级工、技师、高级技师、特级技师、首席技师构成的“八级工”职业技能等级（岗位）序列。鼓励符合条件的专业技术人员按有关规定申请参加相应职业（工种）的职业技能评价。支持各地面向符合条件的技能人才招聘事业单位工作人员，重视从技能人才中培养选拔党政干部。建立职业资格、职业技能等级与相应职称、学历的双向比照认定制度，推进学历教育学习成果、非学历教育学习成果、职业技能等级学分转换互认，建立国家资历框架。</w:t>
      </w:r>
    </w:p>
    <w:p w14:paraId="5A46A46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（十二）健全职业标准体系和评价制度。</w:t>
      </w:r>
      <w:r>
        <w:rPr>
          <w:rFonts w:hint="eastAsia" w:ascii="仿宋" w:hAnsi="仿宋" w:eastAsia="仿宋" w:cs="仿宋"/>
          <w:i w:val="0"/>
          <w:iCs w:val="0"/>
          <w:caps w:val="0"/>
          <w:color w:val="auto"/>
          <w:spacing w:val="0"/>
          <w:sz w:val="24"/>
          <w:szCs w:val="24"/>
        </w:rPr>
        <w:t>健全符合我国国情的现代职业分类体系，完善新职业信息发布制度。完善由国家职业标准、行业企业评价规范、专项职业能力考核规范等构成的多层次、相互衔接的职业标准体系。探索开展技能人员职业标准国际互通、证书国际互认工作，各地可建立境外技能人员职业资格认可清单制度。健全以职业资格评价、职业技能等级认定和专项职业能力考核等为主要内容的技能人才评价机制。完善以职业能力为导向、以工作业绩为重点，注重工匠精神培育和职业道德养成的技能人才评价体系，推动职业技能评价与终身职业技能培训制度相适应，与使用、待遇相衔接。深化职业资格制度改革，完善职业资格目录，实行动态调整。围绕新业态、新技术和劳务品牌、地方特色产业、非物质文化遗产传承项目等，加大专项职业能力考核项目开发力度。</w:t>
      </w:r>
    </w:p>
    <w:p w14:paraId="6E313AB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（十三）推行职业技能等级认定。</w:t>
      </w:r>
      <w:r>
        <w:rPr>
          <w:rFonts w:hint="eastAsia" w:ascii="仿宋" w:hAnsi="仿宋" w:eastAsia="仿宋" w:cs="仿宋"/>
          <w:i w:val="0"/>
          <w:iCs w:val="0"/>
          <w:caps w:val="0"/>
          <w:color w:val="auto"/>
          <w:spacing w:val="0"/>
          <w:sz w:val="24"/>
          <w:szCs w:val="24"/>
        </w:rPr>
        <w:t>支持符合条件的企业自主确定技能人才评价职业（工种）范围，自主设置岗位等级，自主开发制定岗位规范，自主运用评价方式开展技能人才职业技能等级评价；企业对新招录或未定级职工，可根据其日常表现、工作业绩，结合职业标准和企业岗位规范要求，直接认定相应的职业技能等级。打破学历、资历、年龄、比例等限制，对技能高超、业绩突出的一线职工，可直接认定高级工以上职业技能等级。对解决重大工艺技术难题和重大质量问题、技术创新成果获得省部级以上奖项、“师带徒”业绩突出的高技能人才，可破格晋升职业技能等级。推进“学历证书+若干职业技能证书”制度实施。强化技能人才评价规范管理，加大对社会培训评价组织的征集遴选力度，优化遴选条件，构建政府监管、机构自律、社会监督的质量监督体系，保障评价认定结果的科学性、公平性和权威性。</w:t>
      </w:r>
    </w:p>
    <w:p w14:paraId="7349D66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仿宋" w:hAnsi="仿宋" w:eastAsia="仿宋" w:cs="仿宋"/>
          <w:i w:val="0"/>
          <w:iCs w:val="0"/>
          <w:caps w:val="0"/>
          <w:color w:val="auto"/>
          <w:spacing w:val="0"/>
          <w:sz w:val="24"/>
          <w:szCs w:val="24"/>
        </w:rPr>
      </w:pPr>
      <w:r>
        <w:rPr>
          <w:rFonts w:hint="eastAsia" w:ascii="楷体" w:hAnsi="楷体" w:eastAsia="楷体" w:cs="楷体"/>
          <w:b/>
          <w:bCs/>
          <w:i w:val="0"/>
          <w:iCs w:val="0"/>
          <w:caps w:val="0"/>
          <w:color w:val="auto"/>
          <w:spacing w:val="0"/>
          <w:sz w:val="24"/>
          <w:szCs w:val="24"/>
        </w:rPr>
        <w:t>（十四）完善职业技能竞赛体系。</w:t>
      </w:r>
      <w:r>
        <w:rPr>
          <w:rFonts w:hint="eastAsia" w:ascii="仿宋" w:hAnsi="仿宋" w:eastAsia="仿宋" w:cs="仿宋"/>
          <w:i w:val="0"/>
          <w:iCs w:val="0"/>
          <w:caps w:val="0"/>
          <w:color w:val="auto"/>
          <w:spacing w:val="0"/>
          <w:sz w:val="24"/>
          <w:szCs w:val="24"/>
        </w:rPr>
        <w:t>广泛深入开展职业技能竞赛，完善以世界技能大赛为引领、全国职业技能大赛为龙头、全国行业和地方各级职业技能竞赛以及专项赛为主体、企业和院校职业技能比赛为基础的中国特色职业技能竞赛体系。依托现有资源，加强世界技能大赛综合训练中心、研究（研修）中心、集训基地等平台建设，推动世界技能大赛成果转化。定期举办全国职业技能大赛，推动省、市、县开展综合性竞赛活动。鼓励行业开展特色竞赛活动，举办乡村振兴职业技能大赛。举办世界职业院校技能大赛、全国职业院校技能大赛等职业学校技能竞赛。健全竞赛管理制度，推行“赛展演会”结合的办赛模式，建立政府、企业和社会多方参与的竞赛投入保障机制，加强竞赛专兼职队伍建设，提高竞赛科学化、规范化、专业化水平。完善并落实竞赛获奖选手表彰奖励、升学、职业技能等级晋升等政策。鼓励企业对竞赛获奖选手建立与岗位使用及薪酬待遇挂钩的长效激励机制。</w:t>
      </w:r>
    </w:p>
    <w:p w14:paraId="1EDED30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五、建立高技能人才表彰激励机制</w:t>
      </w:r>
    </w:p>
    <w:p w14:paraId="2009F1E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（十五）加大高技能人才表彰奖励力度。</w:t>
      </w:r>
      <w:r>
        <w:rPr>
          <w:rFonts w:hint="eastAsia" w:ascii="仿宋" w:hAnsi="仿宋" w:eastAsia="仿宋" w:cs="仿宋"/>
          <w:i w:val="0"/>
          <w:iCs w:val="0"/>
          <w:caps w:val="0"/>
          <w:color w:val="auto"/>
          <w:spacing w:val="0"/>
          <w:sz w:val="24"/>
          <w:szCs w:val="24"/>
        </w:rPr>
        <w:t>建立以国家表彰为引领、行业企业奖励为主体、社会奖励为补充的高技能人才表彰奖励体系。完善评选表彰中华技能大奖获得者和全国技术能手制度。国家级荣誉适当向高技能人才倾斜。加大高技能人才在全国劳动模范和先进工作者、国家科学技术奖等相关表彰中的评选力度，积极推荐高技能人才享受政府特殊津贴，对符合条件的高技能人才按规定授予五一劳动奖章、青年五四奖章、青年岗位能手、三八红旗手、巾帼建功标兵等荣誉，提高全社会对技能人才的认可认同。</w:t>
      </w:r>
    </w:p>
    <w:p w14:paraId="2DB7B91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（十六）健全高技能人才激励机制。</w:t>
      </w:r>
      <w:r>
        <w:rPr>
          <w:rFonts w:hint="eastAsia" w:ascii="仿宋" w:hAnsi="仿宋" w:eastAsia="仿宋" w:cs="仿宋"/>
          <w:i w:val="0"/>
          <w:iCs w:val="0"/>
          <w:caps w:val="0"/>
          <w:color w:val="auto"/>
          <w:spacing w:val="0"/>
          <w:sz w:val="24"/>
          <w:szCs w:val="24"/>
        </w:rPr>
        <w:t>加强对技能人才的政治引领和政治吸纳，注重做好党委（党组）联系服务高技能人才工作。将高技能人才纳入各地人才分类目录。注重依法依章程推荐高技能人才为人民代表大会代表候选人、政治协商会议委员人选、群团组织代表大会代表或委员会委员候选人。进一步提高高技能人才在职工代表大会中的比例，支持高技能人才参与企业管理。按照有关规定，选拔推荐优秀高技能人才到工会、共青团、妇联等群团组织挂职或兼职。建立高技能人才休假疗养制度，鼓励支持分级开展高技能人才休假疗养、研修交流和节日慰问等活动。</w:t>
      </w:r>
    </w:p>
    <w:p w14:paraId="42E05B7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黑体" w:hAnsi="黑体" w:eastAsia="黑体" w:cs="黑体"/>
          <w:b/>
          <w:bCs/>
          <w:i w:val="0"/>
          <w:iCs w:val="0"/>
          <w:caps w:val="0"/>
          <w:color w:val="auto"/>
          <w:spacing w:val="0"/>
          <w:sz w:val="24"/>
          <w:szCs w:val="24"/>
        </w:rPr>
      </w:pPr>
      <w:r>
        <w:rPr>
          <w:rFonts w:hint="eastAsia" w:ascii="黑体" w:hAnsi="黑体" w:eastAsia="黑体" w:cs="黑体"/>
          <w:b/>
          <w:bCs/>
          <w:i w:val="0"/>
          <w:iCs w:val="0"/>
          <w:caps w:val="0"/>
          <w:color w:val="auto"/>
          <w:spacing w:val="0"/>
          <w:sz w:val="24"/>
          <w:szCs w:val="24"/>
        </w:rPr>
        <w:t>六、保障措施</w:t>
      </w:r>
    </w:p>
    <w:p w14:paraId="7DCAE43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（十七）强化组织领导。</w:t>
      </w:r>
      <w:r>
        <w:rPr>
          <w:rFonts w:hint="eastAsia" w:ascii="仿宋" w:hAnsi="仿宋" w:eastAsia="仿宋" w:cs="仿宋"/>
          <w:i w:val="0"/>
          <w:iCs w:val="0"/>
          <w:caps w:val="0"/>
          <w:color w:val="auto"/>
          <w:spacing w:val="0"/>
          <w:sz w:val="24"/>
          <w:szCs w:val="24"/>
        </w:rPr>
        <w:t>坚持党对高技能人才队伍建设的全面领导，确保正确政治方向。各级党委和政府要将高技能人才工作纳入本地区经济社会发展、人才队伍建设总体部署和考核范围。在本级人才工作领导小组统筹协调下，建立组织部门牵头抓总、人力资源社会保障部门组织实施、有关部门各司其职、行业企业和社会各方广泛参与的高技能人才工作机制。各地区各部门要大力宣传技能人才在经济社会发展中的作用和贡献，进一步营造重视、关心、尊重高技能人才的社会氛围，形成劳动光荣、技能宝贵、创造伟大的时代风尚。</w:t>
      </w:r>
    </w:p>
    <w:p w14:paraId="27E954A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（十八）加强政策支持。</w:t>
      </w:r>
      <w:r>
        <w:rPr>
          <w:rFonts w:hint="eastAsia" w:ascii="仿宋" w:hAnsi="仿宋" w:eastAsia="仿宋" w:cs="仿宋"/>
          <w:i w:val="0"/>
          <w:iCs w:val="0"/>
          <w:caps w:val="0"/>
          <w:color w:val="auto"/>
          <w:spacing w:val="0"/>
          <w:sz w:val="24"/>
          <w:szCs w:val="24"/>
        </w:rPr>
        <w:t>各级政府要统筹利用现有资金渠道，按规定支持高技能人才工作。企业要按规定足额提取和使用职工教育经费，60%以上用于一线职工教育和培训。落实企业职工教育经费税前扣除政策，有条件的地方可探索建立省级统一的企业职工教育经费使用管理制度。各地要按规定发挥好有关教育经费等各类资金作用，支持职业教育发展。</w:t>
      </w:r>
    </w:p>
    <w:p w14:paraId="1CF934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2" w:firstLineChars="200"/>
        <w:textAlignment w:val="auto"/>
        <w:rPr>
          <w:rFonts w:hint="eastAsia" w:ascii="仿宋" w:hAnsi="仿宋" w:eastAsia="仿宋" w:cs="仿宋"/>
          <w:color w:val="auto"/>
          <w:sz w:val="24"/>
          <w:szCs w:val="24"/>
        </w:rPr>
      </w:pPr>
      <w:r>
        <w:rPr>
          <w:rFonts w:hint="eastAsia" w:ascii="楷体" w:hAnsi="楷体" w:eastAsia="楷体" w:cs="楷体"/>
          <w:b/>
          <w:bCs/>
          <w:i w:val="0"/>
          <w:iCs w:val="0"/>
          <w:caps w:val="0"/>
          <w:color w:val="auto"/>
          <w:spacing w:val="0"/>
          <w:sz w:val="24"/>
          <w:szCs w:val="24"/>
        </w:rPr>
        <w:t>（十九）加强技能人才基础工作。</w:t>
      </w:r>
      <w:r>
        <w:rPr>
          <w:rFonts w:hint="eastAsia" w:ascii="仿宋" w:hAnsi="仿宋" w:eastAsia="仿宋" w:cs="仿宋"/>
          <w:i w:val="0"/>
          <w:iCs w:val="0"/>
          <w:caps w:val="0"/>
          <w:color w:val="auto"/>
          <w:spacing w:val="0"/>
          <w:sz w:val="24"/>
          <w:szCs w:val="24"/>
        </w:rPr>
        <w:t>充分利用大数据、云计算等新一代信息技术，加强技能人才工作信息化建设。建立健全高技能人才库。加强高技能人才理论研究和成果转化。大力推进符合高技能人才培养需求的精品课程、教材和师资建设，开发高技能人才培养标准和一体化课程。加强国际交流合作，推动实施技能领域“走出去</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rPr>
        <w:t>引进来”合作项目，支持青年学生、毕业生参与青年国际实习交流计划，推进与各国在技能领域的交流互鉴。</w:t>
      </w:r>
    </w:p>
    <w:p w14:paraId="49836593">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r>
        <w:rPr>
          <w:rFonts w:hint="eastAsia" w:ascii="黑体" w:hAnsi="黑体" w:eastAsia="黑体" w:cs="黑体"/>
          <w:b/>
          <w:bCs/>
          <w:i w:val="0"/>
          <w:iCs w:val="0"/>
          <w:caps w:val="0"/>
          <w:color w:val="auto"/>
          <w:spacing w:val="0"/>
          <w:kern w:val="0"/>
          <w:sz w:val="36"/>
          <w:szCs w:val="36"/>
          <w:u w:val="none"/>
          <w:shd w:val="clear" w:color="auto" w:fill="FFFFFF"/>
          <w:lang w:val="en-US" w:eastAsia="zh-CN" w:bidi="ar"/>
        </w:rPr>
        <w:br w:type="page"/>
      </w:r>
      <w:bookmarkStart w:id="16" w:name="_Toc2715"/>
      <w:bookmarkStart w:id="17" w:name="_Toc1939043559"/>
      <w:bookmarkStart w:id="18" w:name="_Toc15886"/>
      <w:bookmarkStart w:id="19" w:name="_Toc1034825079"/>
      <w:bookmarkStart w:id="20" w:name="_Toc26795"/>
      <w:bookmarkStart w:id="21" w:name="_Toc1254688615"/>
      <w:bookmarkStart w:id="22" w:name="_Toc28462"/>
      <w:bookmarkStart w:id="23" w:name="_Toc9872"/>
      <w:bookmarkStart w:id="24" w:name="_Toc21213"/>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教师资格条例</w:t>
      </w:r>
      <w:bookmarkEnd w:id="16"/>
      <w:bookmarkEnd w:id="17"/>
      <w:bookmarkEnd w:id="18"/>
      <w:bookmarkEnd w:id="19"/>
      <w:bookmarkEnd w:id="20"/>
      <w:bookmarkEnd w:id="21"/>
      <w:bookmarkEnd w:id="22"/>
      <w:bookmarkEnd w:id="23"/>
      <w:bookmarkEnd w:id="24"/>
    </w:p>
    <w:p w14:paraId="044EF61A">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（中华人民共和国国务院令第188号　1995年12月12日发布实施）</w:t>
      </w:r>
    </w:p>
    <w:p w14:paraId="6C24007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val="0"/>
          <w:bCs/>
          <w:color w:val="auto"/>
          <w:sz w:val="24"/>
          <w:szCs w:val="24"/>
          <w:u w:val="none" w:color="auto"/>
          <w:lang w:eastAsia="zh-CN"/>
        </w:rPr>
      </w:pPr>
    </w:p>
    <w:p w14:paraId="57E87467">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bCs w:val="0"/>
          <w:color w:val="auto"/>
          <w:sz w:val="24"/>
          <w:szCs w:val="24"/>
          <w:u w:val="none" w:color="auto"/>
          <w:lang w:eastAsia="zh-CN"/>
        </w:rPr>
      </w:pPr>
      <w:bookmarkStart w:id="25" w:name="_Toc1552104161"/>
      <w:bookmarkStart w:id="26" w:name="_Toc52672491"/>
      <w:r>
        <w:rPr>
          <w:rFonts w:hint="eastAsia" w:ascii="黑体" w:hAnsi="黑体" w:eastAsia="黑体" w:cs="黑体"/>
          <w:b/>
          <w:bCs w:val="0"/>
          <w:color w:val="auto"/>
          <w:sz w:val="24"/>
          <w:szCs w:val="24"/>
          <w:u w:val="none" w:color="auto"/>
          <w:lang w:eastAsia="zh-CN"/>
        </w:rPr>
        <w:t>第一章</w:t>
      </w:r>
      <w:r>
        <w:rPr>
          <w:rFonts w:hint="eastAsia" w:ascii="黑体" w:hAnsi="黑体" w:eastAsia="黑体" w:cs="黑体"/>
          <w:b/>
          <w:bCs w:val="0"/>
          <w:color w:val="auto"/>
          <w:sz w:val="24"/>
          <w:szCs w:val="24"/>
          <w:u w:val="none" w:color="auto"/>
          <w:lang w:val="en-US" w:eastAsia="zh-CN"/>
        </w:rPr>
        <w:t xml:space="preserve"> </w:t>
      </w:r>
      <w:r>
        <w:rPr>
          <w:rFonts w:hint="eastAsia" w:ascii="黑体" w:hAnsi="黑体" w:eastAsia="黑体" w:cs="黑体"/>
          <w:b/>
          <w:bCs w:val="0"/>
          <w:color w:val="auto"/>
          <w:sz w:val="24"/>
          <w:szCs w:val="24"/>
          <w:u w:val="none" w:color="auto"/>
          <w:lang w:eastAsia="zh-CN"/>
        </w:rPr>
        <w:t>总则</w:t>
      </w:r>
      <w:bookmarkEnd w:id="25"/>
      <w:bookmarkEnd w:id="26"/>
    </w:p>
    <w:p w14:paraId="4E958D76">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第一条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为了提高教师素质，加强教师队伍建设，依据《中华人民共和国教师法》（以下简称教师法），制定本条例。 </w:t>
      </w:r>
    </w:p>
    <w:p w14:paraId="52D56DFA">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第二条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中国公民在各级各类学校和其他教育机构中专门从事教育教学工作，应当依法取得教师资格。 </w:t>
      </w:r>
    </w:p>
    <w:p w14:paraId="6AB7AD9A">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第三条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国务院教育行政部门主管全国教师资格工作。 </w:t>
      </w:r>
    </w:p>
    <w:p w14:paraId="507288CB">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bCs w:val="0"/>
          <w:color w:val="auto"/>
          <w:sz w:val="24"/>
          <w:szCs w:val="24"/>
          <w:u w:val="none" w:color="auto"/>
          <w:lang w:eastAsia="zh-CN"/>
        </w:rPr>
      </w:pPr>
      <w:bookmarkStart w:id="27" w:name="_Toc1125421367"/>
      <w:bookmarkStart w:id="28" w:name="_Toc335068482"/>
      <w:r>
        <w:rPr>
          <w:rFonts w:hint="eastAsia" w:ascii="黑体" w:hAnsi="黑体" w:eastAsia="黑体" w:cs="黑体"/>
          <w:b/>
          <w:bCs w:val="0"/>
          <w:color w:val="auto"/>
          <w:sz w:val="24"/>
          <w:szCs w:val="24"/>
          <w:u w:val="none" w:color="auto"/>
          <w:lang w:eastAsia="zh-CN"/>
        </w:rPr>
        <w:t>第二章</w:t>
      </w:r>
      <w:r>
        <w:rPr>
          <w:rFonts w:hint="eastAsia" w:ascii="黑体" w:hAnsi="黑体" w:eastAsia="黑体" w:cs="黑体"/>
          <w:b/>
          <w:bCs w:val="0"/>
          <w:color w:val="auto"/>
          <w:sz w:val="24"/>
          <w:szCs w:val="24"/>
          <w:u w:val="none" w:color="auto"/>
          <w:lang w:val="en-US" w:eastAsia="zh-CN"/>
        </w:rPr>
        <w:t xml:space="preserve"> </w:t>
      </w:r>
      <w:r>
        <w:rPr>
          <w:rFonts w:hint="eastAsia" w:ascii="黑体" w:hAnsi="黑体" w:eastAsia="黑体" w:cs="黑体"/>
          <w:b/>
          <w:bCs w:val="0"/>
          <w:color w:val="auto"/>
          <w:sz w:val="24"/>
          <w:szCs w:val="24"/>
          <w:u w:val="none" w:color="auto"/>
          <w:lang w:eastAsia="zh-CN"/>
        </w:rPr>
        <w:t>教师资格分类与适用</w:t>
      </w:r>
      <w:bookmarkEnd w:id="27"/>
      <w:bookmarkEnd w:id="28"/>
    </w:p>
    <w:p w14:paraId="0EA9A817">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第四条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教师资格分为：</w:t>
      </w:r>
    </w:p>
    <w:p w14:paraId="41AB07D5">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（一）幼儿园教师资格；</w:t>
      </w:r>
    </w:p>
    <w:p w14:paraId="7765E6D7">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（二）小学教师资格；</w:t>
      </w:r>
    </w:p>
    <w:p w14:paraId="05D20EA8">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（三）初级中学教师和初级职业学校文化课、专业课教师资格（以下统称初级中学教师资格）；</w:t>
      </w:r>
    </w:p>
    <w:p w14:paraId="2E7E7C3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（四）高级中学教师资格；</w:t>
      </w:r>
    </w:p>
    <w:p w14:paraId="118B26B0">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（五）中等专业学校、技工学校、职业高级中学文化课、专业课教师资格（以下统称中等职业学校教师资格）；</w:t>
      </w:r>
    </w:p>
    <w:p w14:paraId="3D0BF341">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（六）中等专业学校、技工学校、职业高级中学实习指导教师资格（以下统称中等职业学校实习指导教师资格）；</w:t>
      </w:r>
    </w:p>
    <w:p w14:paraId="37B18FBF">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（七）高等学校教师资格。</w:t>
      </w:r>
    </w:p>
    <w:p w14:paraId="21E38E1A">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成人教育的教师资格，按照成人教育的层次，依照上款规定确定类别。 </w:t>
      </w:r>
    </w:p>
    <w:p w14:paraId="54F1840D">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第五条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取得教师资格的公民，可以在本级及其以下等级的各类学校和其他教育机构担任教师；但是，取得中等职业学校实习指导教师资格的公民只能在中等专业学校、技工学校、职业高级中学或者初级职业学校担任实习指导教师。</w:t>
      </w:r>
    </w:p>
    <w:p w14:paraId="50E1A92E">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高级中学教师资格与中等职业学校教师资格相互通用。 </w:t>
      </w:r>
    </w:p>
    <w:p w14:paraId="5613D485">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bCs w:val="0"/>
          <w:color w:val="auto"/>
          <w:sz w:val="24"/>
          <w:szCs w:val="24"/>
          <w:u w:val="none" w:color="auto"/>
          <w:lang w:eastAsia="zh-CN"/>
        </w:rPr>
      </w:pPr>
      <w:bookmarkStart w:id="29" w:name="_Toc1570124466"/>
      <w:bookmarkStart w:id="30" w:name="_Toc1144211978"/>
      <w:r>
        <w:rPr>
          <w:rFonts w:hint="eastAsia" w:ascii="黑体" w:hAnsi="黑体" w:eastAsia="黑体" w:cs="黑体"/>
          <w:b/>
          <w:bCs w:val="0"/>
          <w:color w:val="auto"/>
          <w:sz w:val="24"/>
          <w:szCs w:val="24"/>
          <w:u w:val="none" w:color="auto"/>
          <w:lang w:eastAsia="zh-CN"/>
        </w:rPr>
        <w:t>第三章</w:t>
      </w:r>
      <w:r>
        <w:rPr>
          <w:rFonts w:hint="eastAsia" w:ascii="黑体" w:hAnsi="黑体" w:eastAsia="黑体" w:cs="黑体"/>
          <w:b/>
          <w:bCs w:val="0"/>
          <w:color w:val="auto"/>
          <w:sz w:val="24"/>
          <w:szCs w:val="24"/>
          <w:u w:val="none" w:color="auto"/>
          <w:lang w:val="en-US" w:eastAsia="zh-CN"/>
        </w:rPr>
        <w:t xml:space="preserve"> </w:t>
      </w:r>
      <w:r>
        <w:rPr>
          <w:rFonts w:hint="eastAsia" w:ascii="黑体" w:hAnsi="黑体" w:eastAsia="黑体" w:cs="黑体"/>
          <w:b/>
          <w:bCs w:val="0"/>
          <w:color w:val="auto"/>
          <w:sz w:val="24"/>
          <w:szCs w:val="24"/>
          <w:u w:val="none" w:color="auto"/>
          <w:lang w:eastAsia="zh-CN"/>
        </w:rPr>
        <w:t>教师资格条件</w:t>
      </w:r>
      <w:bookmarkEnd w:id="29"/>
      <w:bookmarkEnd w:id="30"/>
    </w:p>
    <w:p w14:paraId="652E1BB2">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第六条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教师资格条件依照教师法第十条第二款的规定执行，其中“有教育教学能力”应当包括符合国家规定的从事教育教学工作的身体条件。 </w:t>
      </w:r>
    </w:p>
    <w:p w14:paraId="1B739DFD">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第七条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取得教师资格应当具备的相应学历，依照教师法第十一条的规定执行。</w:t>
      </w:r>
    </w:p>
    <w:p w14:paraId="62D92248">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取得中等职业学校实习指导教师资格，应当具备国务院教育行政部门规定的学历，并应当具有相当助理工程师以上专业技术职务或者中级以上工人技术等级。 </w:t>
      </w:r>
    </w:p>
    <w:p w14:paraId="4BC248F8">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bCs w:val="0"/>
          <w:color w:val="auto"/>
          <w:sz w:val="24"/>
          <w:szCs w:val="24"/>
          <w:u w:val="none" w:color="auto"/>
          <w:lang w:eastAsia="zh-CN"/>
        </w:rPr>
      </w:pPr>
      <w:bookmarkStart w:id="31" w:name="_Toc1631022247"/>
      <w:bookmarkStart w:id="32" w:name="_Toc160615504"/>
      <w:r>
        <w:rPr>
          <w:rFonts w:hint="eastAsia" w:ascii="黑体" w:hAnsi="黑体" w:eastAsia="黑体" w:cs="黑体"/>
          <w:b/>
          <w:bCs w:val="0"/>
          <w:color w:val="auto"/>
          <w:sz w:val="24"/>
          <w:szCs w:val="24"/>
          <w:u w:val="none" w:color="auto"/>
          <w:lang w:eastAsia="zh-CN"/>
        </w:rPr>
        <w:t>第四章</w:t>
      </w:r>
      <w:r>
        <w:rPr>
          <w:rFonts w:hint="eastAsia" w:ascii="黑体" w:hAnsi="黑体" w:eastAsia="黑体" w:cs="黑体"/>
          <w:b/>
          <w:bCs w:val="0"/>
          <w:color w:val="auto"/>
          <w:sz w:val="24"/>
          <w:szCs w:val="24"/>
          <w:u w:val="none" w:color="auto"/>
          <w:lang w:val="en-US" w:eastAsia="zh-CN"/>
        </w:rPr>
        <w:t xml:space="preserve"> </w:t>
      </w:r>
      <w:r>
        <w:rPr>
          <w:rFonts w:hint="eastAsia" w:ascii="黑体" w:hAnsi="黑体" w:eastAsia="黑体" w:cs="黑体"/>
          <w:b/>
          <w:bCs w:val="0"/>
          <w:color w:val="auto"/>
          <w:sz w:val="24"/>
          <w:szCs w:val="24"/>
          <w:u w:val="none" w:color="auto"/>
          <w:lang w:eastAsia="zh-CN"/>
        </w:rPr>
        <w:t>教师资格考试</w:t>
      </w:r>
      <w:bookmarkEnd w:id="31"/>
      <w:bookmarkEnd w:id="32"/>
    </w:p>
    <w:p w14:paraId="315ED84D">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第八条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不具备教师法规定的教师资格学历的公民，申请获得教师资格，应当通过国家举办的或者认可的教师资格考试。 </w:t>
      </w:r>
    </w:p>
    <w:p w14:paraId="29C656D4">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第九条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教师资格考试科目、标准和考试大纲由国务院教育行政部门审定。</w:t>
      </w:r>
    </w:p>
    <w:p w14:paraId="2C02CA28">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教师资格考试试卷的编制、考务工作和考试。成绩证明的发放，属于幼儿园、小学、初级中学、高级中学、中等职业学校教师资格考试和中等职业学校实习指导教师资格考试的，由县级以上人民政府教育行政部门组织实施；属于高等学校教师资格考试的，由国务院教育行政部门或者省、自治区、直辖市人民政府教育行政部门委托的高等学校组织实施。 </w:t>
      </w:r>
    </w:p>
    <w:p w14:paraId="49DFAAFC">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幼儿园、小学、初级中学、高级中学、中等职业学校的教师资格考试和中等职业学校实习指导教师资格考试，每年进行一次。</w:t>
      </w:r>
    </w:p>
    <w:p w14:paraId="5F46C9B7">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参加前款所列教师资格考试，考试科目全部及格的，发给教师资格考试合格证明；当年考试不及格的科目，可以在下一年度补考；经补考仍有一门或者一门以上科目不及格的，应当重新参加全部考试科目的考试。 </w:t>
      </w:r>
    </w:p>
    <w:p w14:paraId="35A1FD4C">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第十一条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高等学校教师资格考试根据需要举行。</w:t>
      </w:r>
    </w:p>
    <w:p w14:paraId="15E28BBD">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申请参加高等学校教师资格考试的，应当学有专长，并有两名相关专业的教授或者副教授推荐。 </w:t>
      </w:r>
    </w:p>
    <w:p w14:paraId="2C14A5E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bCs w:val="0"/>
          <w:color w:val="auto"/>
          <w:sz w:val="24"/>
          <w:szCs w:val="24"/>
          <w:u w:val="none" w:color="auto"/>
          <w:lang w:eastAsia="zh-CN"/>
        </w:rPr>
      </w:pPr>
      <w:bookmarkStart w:id="33" w:name="_Toc1416268209"/>
      <w:bookmarkStart w:id="34" w:name="_Toc2018857307"/>
      <w:r>
        <w:rPr>
          <w:rFonts w:hint="eastAsia" w:ascii="黑体" w:hAnsi="黑体" w:eastAsia="黑体" w:cs="黑体"/>
          <w:b/>
          <w:bCs w:val="0"/>
          <w:color w:val="auto"/>
          <w:sz w:val="24"/>
          <w:szCs w:val="24"/>
          <w:u w:val="none" w:color="auto"/>
          <w:lang w:eastAsia="zh-CN"/>
        </w:rPr>
        <w:t>第五章</w:t>
      </w:r>
      <w:r>
        <w:rPr>
          <w:rFonts w:hint="eastAsia" w:ascii="黑体" w:hAnsi="黑体" w:eastAsia="黑体" w:cs="黑体"/>
          <w:b/>
          <w:bCs w:val="0"/>
          <w:color w:val="auto"/>
          <w:sz w:val="24"/>
          <w:szCs w:val="24"/>
          <w:u w:val="none" w:color="auto"/>
          <w:lang w:val="en-US" w:eastAsia="zh-CN"/>
        </w:rPr>
        <w:t xml:space="preserve"> </w:t>
      </w:r>
      <w:r>
        <w:rPr>
          <w:rFonts w:hint="eastAsia" w:ascii="黑体" w:hAnsi="黑体" w:eastAsia="黑体" w:cs="黑体"/>
          <w:b/>
          <w:bCs w:val="0"/>
          <w:color w:val="auto"/>
          <w:sz w:val="24"/>
          <w:szCs w:val="24"/>
          <w:u w:val="none" w:color="auto"/>
          <w:lang w:eastAsia="zh-CN"/>
        </w:rPr>
        <w:t>教师资格认定</w:t>
      </w:r>
      <w:bookmarkEnd w:id="33"/>
      <w:bookmarkEnd w:id="34"/>
    </w:p>
    <w:p w14:paraId="23F823D5">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第十二条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具备教师法规定的学历或者经教师资格考试合格的公民，可以依照本条例的规定申请认定其教师资格。</w:t>
      </w:r>
    </w:p>
    <w:p w14:paraId="53C41094">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第十三条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幼儿园、小学和初级中学教师资格，由申请人户籍所在地或者申请人任教学校所在地的县级人民政府教育行政部门认定。高级中学教师资格，由申请人户籍所在地或者申请人任教学校所在地的县级人民政府教育行政部门审查后，报上一级教育行政部门认定。中等职业学校教师资格和中等职业学校实习指导教师资格，由申请人户籍所在地或者申请人任教学校所在地的县级人民政府教育行政部门审查后，报上一级教育行政部门认定或者组织有关部门认定。 </w:t>
      </w:r>
    </w:p>
    <w:p w14:paraId="0F28E679">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受国务院教育行政部门或者省、自治区、直辖市人民政府教育行政部门委托的高等学校，负责认定在本校任职的人员和拟聘人员的高等学校教师资格。</w:t>
      </w:r>
    </w:p>
    <w:p w14:paraId="2EC7E651">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在未受国务院教育行政部门或者省、自治区、直辖市人民政府教育行政部门委托的高等学校任职的人员和拟聘人员的高等学校教师资格，按照学校行政隶属关系，由国务院教育行政部门认定或者由学校所在地的省、自治区、直辖市人民政府教育行政部门认定。 </w:t>
      </w:r>
    </w:p>
    <w:p w14:paraId="1B4E42BB">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第十四条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认定教师资格，应当由本人提出申请。 </w:t>
      </w:r>
    </w:p>
    <w:p w14:paraId="32C5548E">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教育行政部门和受委托的高等学校每年春季、秋季各受理一次教师资格认定申请。具体受理期限由教育行政部门或者受委托的高等学校规定，并以适当形式公布。申请人应当在规定的受理期限内提出申请。 </w:t>
      </w:r>
    </w:p>
    <w:p w14:paraId="4EB64370">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第十五条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申请认定教师资格，应当提交教师资格认定申请表和下列证明或者材料：</w:t>
      </w:r>
    </w:p>
    <w:p w14:paraId="229D144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（一）身份证明；</w:t>
      </w:r>
    </w:p>
    <w:p w14:paraId="3C252AFF">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（二）学历证书或者教师资格考试合格证明；</w:t>
      </w:r>
    </w:p>
    <w:p w14:paraId="340F0C04">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（三）教育行政部门或者受委托的高等学校指定的医院出具的体格检查证明；</w:t>
      </w:r>
    </w:p>
    <w:p w14:paraId="2E0943D2">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（四）户籍所在地的街道办事处、乡人民政府或者工作单位、所毕业的学校对其思想品德、有无犯罪记录等方面情况的鉴定及证明材料。</w:t>
      </w:r>
    </w:p>
    <w:p w14:paraId="771761E5">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申请人提交的证明或者材料不全的，教育行政部门或者受委托的高等学校应当及时通知申请人于受理期限终止前补齐。</w:t>
      </w:r>
    </w:p>
    <w:p w14:paraId="40AAE358">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教师资格认定申请表由国务院教育行政部门统一格式。 </w:t>
      </w:r>
    </w:p>
    <w:p w14:paraId="1004DCDB">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第十六条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教育行政部门或者受委托的高等学校在接到公民的教师资格认定申请后，应当对申请人的条件进行审查；对符合认定条件的，应当在受理期限终止之日起30日内颁发相应的教师资格证书；对不符合认定条件的，应当在受理期限终止之日起30日内将认定结论通知本人。</w:t>
      </w:r>
    </w:p>
    <w:p w14:paraId="670A8D4E">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非师范院校毕业或者教师资格考试合格的公民申请认定幼儿园、小学或者其他教师资格的，应当进行面试和试讲，考察其教育教学；根据实际情况和需要，教育行政部门或者受委托的高等学校可以要求申请人补修教育学、心理学等课程。 　　</w:t>
      </w:r>
    </w:p>
    <w:p w14:paraId="5068558E">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教师资格证书在全国范围内适用。教师资格证书由国务院教育行政部门统一印制。 </w:t>
      </w:r>
    </w:p>
    <w:p w14:paraId="6AEB89D7">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第十七条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已取得教师资格的公民拟取得更高等级学校或者其他教育机构教师资格的，应当通过相应的教师资格考试或者取得教师法规定的相应学历，并依照本章规定，经认定合格后，由教育行政部门或者受委托的高等学校颁发相应的教师资格证书。 </w:t>
      </w:r>
    </w:p>
    <w:p w14:paraId="42C75C4D">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黑体" w:hAnsi="黑体" w:eastAsia="黑体" w:cs="黑体"/>
          <w:b/>
          <w:bCs w:val="0"/>
          <w:color w:val="auto"/>
          <w:sz w:val="24"/>
          <w:szCs w:val="24"/>
          <w:u w:val="none" w:color="auto"/>
          <w:lang w:eastAsia="zh-CN"/>
        </w:rPr>
      </w:pPr>
      <w:bookmarkStart w:id="35" w:name="_Toc846541805"/>
      <w:bookmarkStart w:id="36" w:name="_Toc1537699962"/>
      <w:r>
        <w:rPr>
          <w:rFonts w:hint="eastAsia" w:ascii="黑体" w:hAnsi="黑体" w:eastAsia="黑体" w:cs="黑体"/>
          <w:b/>
          <w:bCs w:val="0"/>
          <w:color w:val="auto"/>
          <w:sz w:val="24"/>
          <w:szCs w:val="24"/>
          <w:u w:val="none" w:color="auto"/>
          <w:lang w:eastAsia="zh-CN"/>
        </w:rPr>
        <w:t>第六章</w:t>
      </w:r>
      <w:r>
        <w:rPr>
          <w:rFonts w:hint="eastAsia" w:ascii="黑体" w:hAnsi="黑体" w:eastAsia="黑体" w:cs="黑体"/>
          <w:b/>
          <w:bCs w:val="0"/>
          <w:color w:val="auto"/>
          <w:sz w:val="24"/>
          <w:szCs w:val="24"/>
          <w:u w:val="none" w:color="auto"/>
          <w:lang w:val="en-US" w:eastAsia="zh-CN"/>
        </w:rPr>
        <w:t xml:space="preserve"> </w:t>
      </w:r>
      <w:r>
        <w:rPr>
          <w:rFonts w:hint="eastAsia" w:ascii="黑体" w:hAnsi="黑体" w:eastAsia="黑体" w:cs="黑体"/>
          <w:b/>
          <w:bCs w:val="0"/>
          <w:color w:val="auto"/>
          <w:sz w:val="24"/>
          <w:szCs w:val="24"/>
          <w:u w:val="none" w:color="auto"/>
          <w:lang w:eastAsia="zh-CN"/>
        </w:rPr>
        <w:t>罚则</w:t>
      </w:r>
      <w:bookmarkEnd w:id="35"/>
      <w:bookmarkEnd w:id="36"/>
    </w:p>
    <w:p w14:paraId="512A1C0D">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第十八条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依照教师法第十四条的规定丧失教师资格的，不能重新取得教师资格，其教师资格证书由县级以上人民政府教育行政部门收缴。 </w:t>
      </w:r>
    </w:p>
    <w:p w14:paraId="1D3D544C">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第十九条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有下列情形之一的；由县级以上人民政府教育行政部门撤销其教师资格：</w:t>
      </w:r>
    </w:p>
    <w:p w14:paraId="6A47F533">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（一）弄虚作假、骗取教师资格的；</w:t>
      </w:r>
    </w:p>
    <w:p w14:paraId="5064FC6E">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（二）品行不良、侮辱学生，影响恶劣的。</w:t>
      </w:r>
    </w:p>
    <w:p w14:paraId="406E6928">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val="0"/>
          <w:bCs/>
          <w:color w:val="auto"/>
          <w:sz w:val="24"/>
          <w:szCs w:val="24"/>
          <w:u w:val="none" w:color="auto"/>
          <w:lang w:eastAsia="zh-CN"/>
        </w:rPr>
        <w:t xml:space="preserve">被撤销教师资格的，自撤销之日起5年内不得重新申请认定教师资格，其教师资格证书由县级以上人民政府教育行政部门收缴。 </w:t>
      </w:r>
    </w:p>
    <w:p w14:paraId="19CC77CA">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第二十条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参加教师资格考试有作弊行为的，其考试成绩作废，3年内不得再次参加教师资格考试。 </w:t>
      </w:r>
    </w:p>
    <w:p w14:paraId="3112A9D6">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第二十一条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教师资格考试命题人员和其他有关人员违反保密规定，造成试题、参考答案及评分标准泄露的，依法追究法律责任。 </w:t>
      </w:r>
    </w:p>
    <w:p w14:paraId="3921538D">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pPr>
      <w:r>
        <w:rPr>
          <w:rFonts w:hint="eastAsia" w:ascii="仿宋" w:hAnsi="仿宋" w:eastAsia="仿宋" w:cs="仿宋"/>
          <w:b/>
          <w:bCs w:val="0"/>
          <w:color w:val="auto"/>
          <w:sz w:val="24"/>
          <w:szCs w:val="24"/>
          <w:u w:val="none" w:color="auto"/>
          <w:lang w:eastAsia="zh-CN"/>
        </w:rPr>
        <w:t>第二十二条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 xml:space="preserve">在教师资格认定工作中玩忽职守、徇私舞弊，对教师资格认定工作造成损失的，由教育行政部门依法给予行政处分；构成犯罪的，依法追究刑事责任。 </w:t>
      </w:r>
    </w:p>
    <w:p w14:paraId="67941B23">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仿宋" w:hAnsi="仿宋" w:eastAsia="仿宋" w:cs="仿宋"/>
          <w:b w:val="0"/>
          <w:bCs/>
          <w:color w:val="auto"/>
          <w:sz w:val="24"/>
          <w:szCs w:val="24"/>
          <w:u w:val="none" w:color="auto"/>
          <w:lang w:eastAsia="zh-CN"/>
        </w:rPr>
      </w:pPr>
      <w:bookmarkStart w:id="37" w:name="_Toc1846003713"/>
      <w:bookmarkStart w:id="38" w:name="_Toc1431524512"/>
      <w:r>
        <w:rPr>
          <w:rFonts w:hint="eastAsia" w:ascii="黑体" w:hAnsi="黑体" w:eastAsia="黑体" w:cs="黑体"/>
          <w:b/>
          <w:bCs w:val="0"/>
          <w:color w:val="auto"/>
          <w:sz w:val="24"/>
          <w:szCs w:val="24"/>
          <w:u w:val="none" w:color="auto"/>
          <w:lang w:eastAsia="zh-CN"/>
        </w:rPr>
        <w:t>第七章</w:t>
      </w:r>
      <w:r>
        <w:rPr>
          <w:rFonts w:hint="eastAsia" w:ascii="黑体" w:hAnsi="黑体" w:eastAsia="黑体" w:cs="黑体"/>
          <w:b/>
          <w:bCs w:val="0"/>
          <w:color w:val="auto"/>
          <w:sz w:val="24"/>
          <w:szCs w:val="24"/>
          <w:u w:val="none" w:color="auto"/>
          <w:lang w:val="en-US" w:eastAsia="zh-CN"/>
        </w:rPr>
        <w:t xml:space="preserve"> </w:t>
      </w:r>
      <w:r>
        <w:rPr>
          <w:rFonts w:hint="eastAsia" w:ascii="黑体" w:hAnsi="黑体" w:eastAsia="黑体" w:cs="黑体"/>
          <w:b/>
          <w:bCs w:val="0"/>
          <w:color w:val="auto"/>
          <w:sz w:val="24"/>
          <w:szCs w:val="24"/>
          <w:u w:val="none" w:color="auto"/>
          <w:lang w:eastAsia="zh-CN"/>
        </w:rPr>
        <w:t>附则</w:t>
      </w:r>
      <w:bookmarkEnd w:id="37"/>
      <w:bookmarkEnd w:id="38"/>
    </w:p>
    <w:p w14:paraId="628423A6">
      <w:pPr>
        <w:keepNext w:val="0"/>
        <w:keepLines w:val="0"/>
        <w:pageBreakBefore w:val="0"/>
        <w:widowControl/>
        <w:kinsoku/>
        <w:wordWrap/>
        <w:overflowPunct/>
        <w:topLinePunct w:val="0"/>
        <w:autoSpaceDE/>
        <w:autoSpaceDN/>
        <w:bidi w:val="0"/>
        <w:adjustRightInd/>
        <w:snapToGrid/>
        <w:spacing w:line="240" w:lineRule="auto"/>
        <w:ind w:left="0" w:leftChars="0" w:firstLine="482" w:firstLineChars="200"/>
        <w:jc w:val="both"/>
        <w:textAlignment w:val="auto"/>
        <w:outlineLvl w:val="9"/>
        <w:rPr>
          <w:rFonts w:hint="eastAsia" w:ascii="仿宋" w:hAnsi="仿宋" w:eastAsia="仿宋" w:cs="仿宋"/>
          <w:b w:val="0"/>
          <w:bCs/>
          <w:color w:val="auto"/>
          <w:sz w:val="24"/>
          <w:szCs w:val="24"/>
          <w:u w:val="none" w:color="auto"/>
          <w:lang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b/>
          <w:bCs w:val="0"/>
          <w:color w:val="auto"/>
          <w:sz w:val="24"/>
          <w:szCs w:val="24"/>
          <w:u w:val="none" w:color="auto"/>
          <w:lang w:eastAsia="zh-CN"/>
        </w:rPr>
        <w:t>第二十三条</w:t>
      </w:r>
      <w:r>
        <w:rPr>
          <w:rFonts w:hint="eastAsia" w:ascii="仿宋" w:hAnsi="仿宋" w:eastAsia="仿宋" w:cs="仿宋"/>
          <w:b/>
          <w:bCs w:val="0"/>
          <w:color w:val="auto"/>
          <w:sz w:val="24"/>
          <w:szCs w:val="24"/>
          <w:u w:val="none" w:color="auto"/>
          <w:lang w:val="en-US" w:eastAsia="zh-CN"/>
        </w:rPr>
        <w:t xml:space="preserve"> </w:t>
      </w:r>
      <w:r>
        <w:rPr>
          <w:rFonts w:hint="eastAsia" w:ascii="仿宋" w:hAnsi="仿宋" w:eastAsia="仿宋" w:cs="仿宋"/>
          <w:b w:val="0"/>
          <w:bCs/>
          <w:color w:val="auto"/>
          <w:sz w:val="24"/>
          <w:szCs w:val="24"/>
          <w:u w:val="none" w:color="auto"/>
          <w:lang w:eastAsia="zh-CN"/>
        </w:rPr>
        <w:t>本条例自发布之日起施行。</w:t>
      </w:r>
    </w:p>
    <w:p w14:paraId="656B242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1"/>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pPr>
      <w:bookmarkStart w:id="39" w:name="_Toc2386"/>
      <w:bookmarkStart w:id="40" w:name="_Toc55"/>
      <w:bookmarkStart w:id="41" w:name="_Toc1458246138"/>
      <w:bookmarkStart w:id="42" w:name="_Toc30718"/>
      <w:bookmarkStart w:id="43" w:name="_Toc1582313732"/>
      <w:bookmarkStart w:id="44" w:name="_Toc21791"/>
      <w:bookmarkStart w:id="45" w:name="_Toc2076102427"/>
      <w:bookmarkStart w:id="46" w:name="_Toc446661427"/>
      <w:bookmarkStart w:id="47" w:name="_Toc26549"/>
      <w:bookmarkStart w:id="48" w:name="_Toc11447"/>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教育部关于印发《新时代高校教师职业行为十项准则》《新时代中小学教师职业行为十项准则》《新时代幼儿园教师职业行为十项准则》的通知</w:t>
      </w:r>
      <w:bookmarkEnd w:id="39"/>
      <w:bookmarkEnd w:id="40"/>
      <w:bookmarkEnd w:id="41"/>
      <w:bookmarkEnd w:id="42"/>
      <w:bookmarkEnd w:id="43"/>
      <w:bookmarkEnd w:id="44"/>
      <w:bookmarkEnd w:id="45"/>
      <w:bookmarkEnd w:id="46"/>
      <w:bookmarkEnd w:id="47"/>
      <w:bookmarkEnd w:id="48"/>
    </w:p>
    <w:p w14:paraId="287BDCA4">
      <w:pPr>
        <w:keepNext w:val="0"/>
        <w:keepLines w:val="0"/>
        <w:pageBreakBefore w:val="0"/>
        <w:kinsoku/>
        <w:wordWrap/>
        <w:overflowPunct/>
        <w:topLinePunct w:val="0"/>
        <w:autoSpaceDE/>
        <w:autoSpaceDN/>
        <w:bidi w:val="0"/>
        <w:adjustRightInd/>
        <w:snapToGrid/>
        <w:spacing w:beforeAutospacing="0" w:afterAutospacing="0"/>
        <w:jc w:val="center"/>
        <w:textAlignment w:val="auto"/>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(教师〔2018〕16号)</w:t>
      </w:r>
    </w:p>
    <w:p w14:paraId="09489BEA">
      <w:pPr>
        <w:jc w:val="both"/>
        <w:outlineLvl w:val="9"/>
        <w:rPr>
          <w:rFonts w:hint="eastAsia" w:ascii="仿宋" w:hAnsi="仿宋" w:eastAsia="仿宋" w:cs="仿宋"/>
          <w:b w:val="0"/>
          <w:bCs/>
          <w:color w:val="auto"/>
          <w:sz w:val="24"/>
          <w:szCs w:val="24"/>
          <w:u w:val="none" w:color="auto"/>
          <w:lang w:val="en-US" w:eastAsia="zh-CN"/>
        </w:rPr>
      </w:pPr>
    </w:p>
    <w:p w14:paraId="47CDF221">
      <w:pPr>
        <w:jc w:val="both"/>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各省、自治区、直辖市教育厅（教委），新疆生产建设兵团教育局，有关部门（单位）教育司（局），部属各高等学校、部省合建各高等高校：</w:t>
      </w:r>
    </w:p>
    <w:p w14:paraId="0F59C0EF">
      <w:pPr>
        <w:ind w:firstLine="480" w:firstLineChars="200"/>
        <w:jc w:val="both"/>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为深入贯彻习近平新时代中国特色社会主义思想和党的十九大精神，深入贯彻落实全国教育大会精神，扎实推进《中共中央 国务院关于全面深化新时代教师队伍建设改革的意见》的实施，进一步加强师德师风建设，我部研究制定了《新时代高校教师职业行为十项准则》《新时代中小学教师职业行为十项准则》《新时代幼儿园教师职业行为十项准则》（以下统称准则）。现印发给你们，请结合实际，认真贯彻执行。</w:t>
      </w:r>
    </w:p>
    <w:p w14:paraId="62F16C06">
      <w:pPr>
        <w:ind w:firstLine="482" w:firstLineChars="200"/>
        <w:jc w:val="both"/>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一、准则是教师职业行为的基本规范。</w:t>
      </w:r>
      <w:r>
        <w:rPr>
          <w:rFonts w:hint="eastAsia" w:ascii="仿宋" w:hAnsi="仿宋" w:eastAsia="仿宋" w:cs="仿宋"/>
          <w:b w:val="0"/>
          <w:bCs/>
          <w:color w:val="auto"/>
          <w:sz w:val="24"/>
          <w:szCs w:val="24"/>
          <w:u w:val="none" w:color="auto"/>
          <w:lang w:val="en-US" w:eastAsia="zh-CN"/>
        </w:rPr>
        <w:t>师德师风是评价教师队伍素质的第一标准。长期以来，广大教师牢记使命、不忘初心，爱岗敬业、教书育人，改革创新、服务社会，作出了重大贡献，党和国家高度肯定，学生、家长和社会普遍尊重。但是，也有个别教师放松自我要求，不能认真履职尽责，甚至出现严重违反师德行为，损害教师队伍整体形象。制定教师职业行为准则，明确新时代教师职业规范，针对主要问题、突出问题划定基本底线，是对广大教师的警示提醒和严管厚爱，是深化师德师风建设，造就政治素质过硬、业务能力精湛、育人水平高超的高素质教师队伍的关键之举。</w:t>
      </w:r>
    </w:p>
    <w:p w14:paraId="21379E4B">
      <w:pPr>
        <w:ind w:firstLine="482" w:firstLineChars="200"/>
        <w:jc w:val="both"/>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二、立即部署扎实开展准则的学习贯彻。</w:t>
      </w:r>
      <w:r>
        <w:rPr>
          <w:rFonts w:hint="eastAsia" w:ascii="仿宋" w:hAnsi="仿宋" w:eastAsia="仿宋" w:cs="仿宋"/>
          <w:b w:val="0"/>
          <w:bCs/>
          <w:color w:val="auto"/>
          <w:sz w:val="24"/>
          <w:szCs w:val="24"/>
          <w:u w:val="none" w:color="auto"/>
          <w:lang w:val="en-US" w:eastAsia="zh-CN"/>
        </w:rPr>
        <w:t>各地各校要立即行动，结合落实师德师风建设长效机制，开展准则的学习贯彻。要结合本地区、本学校实际进行细化，制定具体化的教师职业行为负面清单及失范行为处理办法，提高针对性、操作性。要做好宣传解读，坚持全覆盖、无死角，采取多种形式帮助广大教师全面理解和准确把握，做到人人应知应做、必知必做，真正把教书育人和自我修养结合起来，时刻自重、自省、自警、自励，自觉做以德立身、以德立学、以德施教、以德育德的楷模，维护教师职业形象，提振师道尊严。</w:t>
      </w:r>
    </w:p>
    <w:p w14:paraId="4D2F327A">
      <w:pPr>
        <w:ind w:firstLine="482" w:firstLineChars="200"/>
        <w:jc w:val="both"/>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三、把准则要求落实到教师管理具体工作中。</w:t>
      </w:r>
      <w:r>
        <w:rPr>
          <w:rFonts w:hint="eastAsia" w:ascii="仿宋" w:hAnsi="仿宋" w:eastAsia="仿宋" w:cs="仿宋"/>
          <w:b w:val="0"/>
          <w:bCs/>
          <w:color w:val="auto"/>
          <w:sz w:val="24"/>
          <w:szCs w:val="24"/>
          <w:u w:val="none" w:color="auto"/>
          <w:lang w:val="en-US" w:eastAsia="zh-CN"/>
        </w:rPr>
        <w:t>要把好教师入口关，在教师招聘、引进时组织开展准则的宣讲，确保每位新入职教师知准则、守底线。要将准则要求体现在教师聘用、聘任合同中，明确有关责任。要强化考核，在教师年度考核、职称评聘、推优评先、表彰奖励等工作中必须进行师德考核，实行师德失范“一票否决”。改进师德考核方式方法，避免形式化、随意化。完善师德考核指标体系，提高科学性、实效性。</w:t>
      </w:r>
    </w:p>
    <w:p w14:paraId="679E765E">
      <w:pPr>
        <w:ind w:firstLine="482" w:firstLineChars="200"/>
        <w:jc w:val="both"/>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四、以有力措施坚决查处师德违规行为。</w:t>
      </w:r>
      <w:r>
        <w:rPr>
          <w:rFonts w:hint="eastAsia" w:ascii="仿宋" w:hAnsi="仿宋" w:eastAsia="仿宋" w:cs="仿宋"/>
          <w:b w:val="0"/>
          <w:bCs/>
          <w:color w:val="auto"/>
          <w:sz w:val="24"/>
          <w:szCs w:val="24"/>
          <w:u w:val="none" w:color="auto"/>
          <w:lang w:val="en-US" w:eastAsia="zh-CN"/>
        </w:rPr>
        <w:t>各地各校要按照准则及相应的处理指导意见、处理办法要求，严格举报受理和违规查处。对于发生准则中禁止行为的，要态度坚决，一查到底，依法依规严肃惩处，绝不姑息。对于有虐待、猥亵、性骚扰等严重侵害学生行为的，一经查实，要撤销其所获荣誉、称号，追回相关奖金，依法依规撤销教师资格、解除教师职务、清除出教师队伍，同时还要录入全国教师管理信息系统，任何学校不得再聘任其从事教学、科研及管理等工作。涉嫌违法犯罪的要及时移送司法机关依法处理。要严格落实学校主体责任，建立师德建设责任追究机制，对师德违规行为监管不力、拒不处分、拖延处分或推诿隐瞒等失职失责问题，造成不良影响或严重后果的，要按照干部管理权限严肃追究责任。</w:t>
      </w:r>
    </w:p>
    <w:p w14:paraId="50B0F4E9">
      <w:pPr>
        <w:ind w:firstLine="480" w:firstLineChars="200"/>
        <w:jc w:val="both"/>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各地贯彻落实准则的情况，请及时报告教育部。教育部将适时对落实情况进行督查。</w:t>
      </w:r>
    </w:p>
    <w:p w14:paraId="7F8756CC">
      <w:pPr>
        <w:jc w:val="both"/>
        <w:outlineLvl w:val="9"/>
        <w:rPr>
          <w:rFonts w:hint="eastAsia" w:ascii="仿宋" w:hAnsi="仿宋" w:eastAsia="仿宋" w:cs="仿宋"/>
          <w:b w:val="0"/>
          <w:bCs/>
          <w:color w:val="auto"/>
          <w:sz w:val="24"/>
          <w:szCs w:val="24"/>
          <w:u w:val="none" w:color="auto"/>
          <w:lang w:val="en-US" w:eastAsia="zh-CN"/>
        </w:rPr>
      </w:pPr>
    </w:p>
    <w:p w14:paraId="66691B73">
      <w:pPr>
        <w:jc w:val="right"/>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教育部</w:t>
      </w:r>
    </w:p>
    <w:p w14:paraId="4AF46713">
      <w:pPr>
        <w:jc w:val="right"/>
        <w:outlineLvl w:val="9"/>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2018年11月8日</w:t>
      </w:r>
    </w:p>
    <w:p w14:paraId="73333ABA">
      <w:pPr>
        <w:pStyle w:val="2"/>
        <w:rPr>
          <w:rFonts w:hint="eastAsia" w:ascii="仿宋" w:hAnsi="仿宋" w:eastAsia="仿宋" w:cs="仿宋"/>
          <w:b w:val="0"/>
          <w:bCs/>
          <w:color w:val="auto"/>
          <w:sz w:val="24"/>
          <w:szCs w:val="24"/>
          <w:u w:val="none" w:color="auto"/>
          <w:lang w:val="en-US" w:eastAsia="zh-CN"/>
        </w:rPr>
      </w:pPr>
    </w:p>
    <w:p w14:paraId="7CBD9865">
      <w:pPr>
        <w:pStyle w:val="2"/>
        <w:rPr>
          <w:rFonts w:hint="eastAsia" w:ascii="仿宋" w:hAnsi="仿宋" w:eastAsia="仿宋" w:cs="仿宋"/>
          <w:b w:val="0"/>
          <w:bCs/>
          <w:color w:val="auto"/>
          <w:sz w:val="24"/>
          <w:szCs w:val="24"/>
          <w:u w:val="none" w:color="auto"/>
          <w:lang w:val="en-US" w:eastAsia="zh-CN"/>
        </w:rPr>
      </w:pPr>
    </w:p>
    <w:p w14:paraId="0E7F1487">
      <w:pPr>
        <w:pStyle w:val="2"/>
        <w:rPr>
          <w:rFonts w:hint="eastAsia" w:ascii="仿宋" w:hAnsi="仿宋" w:eastAsia="仿宋" w:cs="仿宋"/>
          <w:b w:val="0"/>
          <w:bCs/>
          <w:color w:val="auto"/>
          <w:sz w:val="24"/>
          <w:szCs w:val="24"/>
          <w:u w:val="none" w:color="auto"/>
          <w:lang w:val="en-US" w:eastAsia="zh-CN"/>
        </w:rPr>
      </w:pPr>
    </w:p>
    <w:p w14:paraId="0950445E">
      <w:pPr>
        <w:pStyle w:val="2"/>
        <w:rPr>
          <w:rFonts w:hint="eastAsia" w:ascii="仿宋" w:hAnsi="仿宋" w:eastAsia="仿宋" w:cs="仿宋"/>
          <w:b w:val="0"/>
          <w:bCs/>
          <w:color w:val="auto"/>
          <w:sz w:val="24"/>
          <w:szCs w:val="24"/>
          <w:u w:val="none" w:color="auto"/>
          <w:lang w:val="en-US" w:eastAsia="zh-CN"/>
        </w:rPr>
      </w:pPr>
    </w:p>
    <w:p w14:paraId="0640E9A8">
      <w:pPr>
        <w:pStyle w:val="2"/>
        <w:rPr>
          <w:rFonts w:hint="eastAsia" w:ascii="仿宋" w:hAnsi="仿宋" w:eastAsia="仿宋" w:cs="仿宋"/>
          <w:b w:val="0"/>
          <w:bCs/>
          <w:color w:val="auto"/>
          <w:sz w:val="24"/>
          <w:szCs w:val="24"/>
          <w:u w:val="none" w:color="auto"/>
          <w:lang w:val="en-US" w:eastAsia="zh-CN"/>
        </w:rPr>
      </w:pPr>
    </w:p>
    <w:p w14:paraId="301351DA">
      <w:pPr>
        <w:pStyle w:val="2"/>
        <w:rPr>
          <w:rFonts w:hint="eastAsia" w:ascii="仿宋" w:hAnsi="仿宋" w:eastAsia="仿宋" w:cs="仿宋"/>
          <w:b w:val="0"/>
          <w:bCs/>
          <w:color w:val="auto"/>
          <w:sz w:val="24"/>
          <w:szCs w:val="24"/>
          <w:u w:val="none" w:color="auto"/>
          <w:lang w:val="en-US" w:eastAsia="zh-CN"/>
        </w:rPr>
      </w:pPr>
    </w:p>
    <w:p w14:paraId="212BB243">
      <w:pPr>
        <w:pStyle w:val="2"/>
        <w:rPr>
          <w:rFonts w:hint="eastAsia" w:ascii="仿宋" w:hAnsi="仿宋" w:eastAsia="仿宋" w:cs="仿宋"/>
          <w:b w:val="0"/>
          <w:bCs/>
          <w:color w:val="auto"/>
          <w:sz w:val="24"/>
          <w:szCs w:val="24"/>
          <w:u w:val="none" w:color="auto"/>
          <w:lang w:val="en-US" w:eastAsia="zh-CN"/>
        </w:rPr>
      </w:pPr>
    </w:p>
    <w:p w14:paraId="62203600">
      <w:pPr>
        <w:pStyle w:val="2"/>
        <w:rPr>
          <w:rFonts w:hint="eastAsia" w:ascii="仿宋" w:hAnsi="仿宋" w:eastAsia="仿宋" w:cs="仿宋"/>
          <w:b w:val="0"/>
          <w:bCs/>
          <w:color w:val="auto"/>
          <w:sz w:val="24"/>
          <w:szCs w:val="24"/>
          <w:u w:val="none" w:color="auto"/>
          <w:lang w:val="en-US" w:eastAsia="zh-CN"/>
        </w:rPr>
      </w:pPr>
    </w:p>
    <w:p w14:paraId="393DABDF">
      <w:pPr>
        <w:pStyle w:val="2"/>
        <w:rPr>
          <w:rFonts w:hint="eastAsia" w:ascii="仿宋" w:hAnsi="仿宋" w:eastAsia="仿宋" w:cs="仿宋"/>
          <w:b w:val="0"/>
          <w:bCs/>
          <w:color w:val="auto"/>
          <w:sz w:val="24"/>
          <w:szCs w:val="24"/>
          <w:u w:val="none" w:color="auto"/>
          <w:lang w:val="en-US" w:eastAsia="zh-CN"/>
        </w:rPr>
      </w:pPr>
    </w:p>
    <w:p w14:paraId="3C71EFC1">
      <w:pPr>
        <w:pStyle w:val="2"/>
        <w:rPr>
          <w:rFonts w:hint="eastAsia" w:ascii="仿宋" w:hAnsi="仿宋" w:eastAsia="仿宋" w:cs="仿宋"/>
          <w:b w:val="0"/>
          <w:bCs/>
          <w:color w:val="auto"/>
          <w:sz w:val="24"/>
          <w:szCs w:val="24"/>
          <w:u w:val="none" w:color="auto"/>
          <w:lang w:val="en-US" w:eastAsia="zh-CN"/>
        </w:rPr>
      </w:pPr>
    </w:p>
    <w:p w14:paraId="3E628D3F">
      <w:pPr>
        <w:pStyle w:val="2"/>
        <w:rPr>
          <w:rFonts w:hint="eastAsia" w:ascii="仿宋" w:hAnsi="仿宋" w:eastAsia="仿宋" w:cs="仿宋"/>
          <w:b w:val="0"/>
          <w:bCs/>
          <w:color w:val="auto"/>
          <w:sz w:val="24"/>
          <w:szCs w:val="24"/>
          <w:u w:val="none" w:color="auto"/>
          <w:lang w:val="en-US" w:eastAsia="zh-CN"/>
        </w:rPr>
      </w:pPr>
    </w:p>
    <w:p w14:paraId="730AC69C">
      <w:pPr>
        <w:pStyle w:val="2"/>
        <w:rPr>
          <w:rFonts w:hint="eastAsia" w:ascii="仿宋" w:hAnsi="仿宋" w:eastAsia="仿宋" w:cs="仿宋"/>
          <w:b w:val="0"/>
          <w:bCs/>
          <w:color w:val="auto"/>
          <w:sz w:val="24"/>
          <w:szCs w:val="24"/>
          <w:u w:val="none" w:color="auto"/>
          <w:lang w:val="en-US" w:eastAsia="zh-CN"/>
        </w:rPr>
      </w:pPr>
    </w:p>
    <w:p w14:paraId="5273D0BE">
      <w:pPr>
        <w:pStyle w:val="2"/>
        <w:rPr>
          <w:rFonts w:hint="eastAsia" w:ascii="仿宋" w:hAnsi="仿宋" w:eastAsia="仿宋" w:cs="仿宋"/>
          <w:b w:val="0"/>
          <w:bCs/>
          <w:color w:val="auto"/>
          <w:sz w:val="24"/>
          <w:szCs w:val="24"/>
          <w:u w:val="none" w:color="auto"/>
          <w:lang w:val="en-US" w:eastAsia="zh-CN"/>
        </w:rPr>
      </w:pPr>
    </w:p>
    <w:p w14:paraId="3FCB3388">
      <w:pPr>
        <w:pStyle w:val="2"/>
        <w:rPr>
          <w:rFonts w:hint="eastAsia" w:ascii="仿宋" w:hAnsi="仿宋" w:eastAsia="仿宋" w:cs="仿宋"/>
          <w:b w:val="0"/>
          <w:bCs/>
          <w:color w:val="auto"/>
          <w:sz w:val="24"/>
          <w:szCs w:val="24"/>
          <w:u w:val="none" w:color="auto"/>
          <w:lang w:val="en-US" w:eastAsia="zh-CN"/>
        </w:rPr>
      </w:pPr>
    </w:p>
    <w:p w14:paraId="72725EA9">
      <w:pPr>
        <w:pStyle w:val="2"/>
        <w:rPr>
          <w:rFonts w:hint="eastAsia" w:ascii="仿宋" w:hAnsi="仿宋" w:eastAsia="仿宋" w:cs="仿宋"/>
          <w:b w:val="0"/>
          <w:bCs/>
          <w:color w:val="auto"/>
          <w:sz w:val="24"/>
          <w:szCs w:val="24"/>
          <w:u w:val="none" w:color="auto"/>
          <w:lang w:val="en-US" w:eastAsia="zh-CN"/>
        </w:rPr>
      </w:pPr>
    </w:p>
    <w:p w14:paraId="169F242A">
      <w:pPr>
        <w:pStyle w:val="2"/>
        <w:rPr>
          <w:rFonts w:hint="eastAsia" w:ascii="仿宋" w:hAnsi="仿宋" w:eastAsia="仿宋" w:cs="仿宋"/>
          <w:b w:val="0"/>
          <w:bCs/>
          <w:color w:val="auto"/>
          <w:sz w:val="24"/>
          <w:szCs w:val="24"/>
          <w:u w:val="none" w:color="auto"/>
          <w:lang w:val="en-US" w:eastAsia="zh-CN"/>
        </w:rPr>
      </w:pPr>
    </w:p>
    <w:p w14:paraId="55E64A89">
      <w:pPr>
        <w:pStyle w:val="2"/>
        <w:rPr>
          <w:rFonts w:hint="eastAsia" w:ascii="仿宋" w:hAnsi="仿宋" w:eastAsia="仿宋" w:cs="仿宋"/>
          <w:b w:val="0"/>
          <w:bCs/>
          <w:color w:val="auto"/>
          <w:sz w:val="24"/>
          <w:szCs w:val="24"/>
          <w:u w:val="none" w:color="auto"/>
          <w:lang w:val="en-US" w:eastAsia="zh-CN"/>
        </w:rPr>
      </w:pPr>
    </w:p>
    <w:p w14:paraId="64D3EE7D">
      <w:pPr>
        <w:pStyle w:val="2"/>
        <w:rPr>
          <w:rFonts w:hint="eastAsia" w:ascii="仿宋" w:hAnsi="仿宋" w:eastAsia="仿宋" w:cs="仿宋"/>
          <w:b w:val="0"/>
          <w:bCs/>
          <w:color w:val="auto"/>
          <w:sz w:val="24"/>
          <w:szCs w:val="24"/>
          <w:u w:val="none" w:color="auto"/>
          <w:lang w:val="en-US" w:eastAsia="zh-CN"/>
        </w:rPr>
      </w:pPr>
    </w:p>
    <w:p w14:paraId="24670CDF">
      <w:pPr>
        <w:pStyle w:val="2"/>
        <w:rPr>
          <w:rFonts w:hint="eastAsia" w:ascii="仿宋" w:hAnsi="仿宋" w:eastAsia="仿宋" w:cs="仿宋"/>
          <w:b w:val="0"/>
          <w:bCs/>
          <w:color w:val="auto"/>
          <w:sz w:val="24"/>
          <w:szCs w:val="24"/>
          <w:u w:val="none" w:color="auto"/>
          <w:lang w:val="en-US" w:eastAsia="zh-CN"/>
        </w:rPr>
      </w:pPr>
    </w:p>
    <w:p w14:paraId="736D39EE">
      <w:pPr>
        <w:pStyle w:val="2"/>
        <w:rPr>
          <w:rFonts w:hint="eastAsia" w:ascii="仿宋" w:hAnsi="仿宋" w:eastAsia="仿宋" w:cs="仿宋"/>
          <w:b w:val="0"/>
          <w:bCs/>
          <w:color w:val="auto"/>
          <w:sz w:val="24"/>
          <w:szCs w:val="24"/>
          <w:u w:val="none" w:color="auto"/>
          <w:lang w:val="en-US" w:eastAsia="zh-CN"/>
        </w:rPr>
      </w:pPr>
    </w:p>
    <w:p w14:paraId="579F7427">
      <w:pPr>
        <w:pStyle w:val="2"/>
        <w:rPr>
          <w:rFonts w:hint="eastAsia" w:ascii="仿宋" w:hAnsi="仿宋" w:eastAsia="仿宋" w:cs="仿宋"/>
          <w:b w:val="0"/>
          <w:bCs/>
          <w:color w:val="auto"/>
          <w:sz w:val="24"/>
          <w:szCs w:val="24"/>
          <w:u w:val="none" w:color="auto"/>
          <w:lang w:val="en-US" w:eastAsia="zh-CN"/>
        </w:rPr>
      </w:pPr>
    </w:p>
    <w:p w14:paraId="7371E182">
      <w:pPr>
        <w:pStyle w:val="2"/>
        <w:rPr>
          <w:rFonts w:hint="eastAsia" w:ascii="仿宋" w:hAnsi="仿宋" w:eastAsia="仿宋" w:cs="仿宋"/>
          <w:b w:val="0"/>
          <w:bCs/>
          <w:color w:val="auto"/>
          <w:sz w:val="24"/>
          <w:szCs w:val="24"/>
          <w:u w:val="none" w:color="auto"/>
          <w:lang w:val="en-US" w:eastAsia="zh-CN"/>
        </w:rPr>
      </w:pPr>
    </w:p>
    <w:p w14:paraId="686507DA">
      <w:pPr>
        <w:pStyle w:val="2"/>
        <w:rPr>
          <w:rFonts w:hint="eastAsia" w:ascii="仿宋" w:hAnsi="仿宋" w:eastAsia="仿宋" w:cs="仿宋"/>
          <w:b w:val="0"/>
          <w:bCs/>
          <w:color w:val="auto"/>
          <w:sz w:val="24"/>
          <w:szCs w:val="24"/>
          <w:u w:val="none" w:color="auto"/>
          <w:lang w:val="en-US" w:eastAsia="zh-CN"/>
        </w:rPr>
      </w:pPr>
    </w:p>
    <w:p w14:paraId="4DAF8923">
      <w:pPr>
        <w:pStyle w:val="2"/>
        <w:ind w:left="0" w:leftChars="0" w:firstLine="0" w:firstLineChars="0"/>
        <w:rPr>
          <w:rFonts w:hint="eastAsia" w:ascii="仿宋" w:hAnsi="仿宋" w:eastAsia="仿宋" w:cs="仿宋"/>
          <w:b w:val="0"/>
          <w:bCs/>
          <w:color w:val="auto"/>
          <w:sz w:val="24"/>
          <w:szCs w:val="24"/>
          <w:u w:val="none" w:color="auto"/>
          <w:lang w:val="en-US" w:eastAsia="zh-CN"/>
        </w:rPr>
      </w:pPr>
    </w:p>
    <w:p w14:paraId="0930A0E2">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val="0"/>
          <w:bCs/>
          <w:color w:val="auto"/>
          <w:sz w:val="24"/>
          <w:szCs w:val="24"/>
          <w:u w:val="none" w:color="auto"/>
          <w:lang w:val="en-US" w:eastAsia="zh-CN"/>
        </w:rPr>
      </w:pPr>
      <w:bookmarkStart w:id="49" w:name="_Toc1102978478"/>
      <w:bookmarkStart w:id="50" w:name="_Toc1965517856"/>
      <w:r>
        <w:rPr>
          <w:rFonts w:hint="eastAsia" w:ascii="宋体" w:hAnsi="宋体" w:eastAsia="宋体" w:cs="宋体"/>
          <w:b/>
          <w:bCs/>
          <w:i w:val="0"/>
          <w:iCs w:val="0"/>
          <w:caps w:val="0"/>
          <w:color w:val="auto"/>
          <w:spacing w:val="0"/>
          <w:kern w:val="0"/>
          <w:sz w:val="36"/>
          <w:szCs w:val="36"/>
          <w:u w:val="none"/>
          <w:shd w:val="clear" w:color="auto" w:fill="FFFFFF"/>
          <w:lang w:val="en-US" w:eastAsia="zh-CN" w:bidi="ar"/>
        </w:rPr>
        <w:t>新时代高校教师职业行为十项准则</w:t>
      </w:r>
      <w:bookmarkEnd w:id="49"/>
      <w:bookmarkEnd w:id="50"/>
    </w:p>
    <w:p w14:paraId="3296A77C">
      <w:pPr>
        <w:ind w:firstLine="480"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val="0"/>
          <w:bCs/>
          <w:color w:val="auto"/>
          <w:sz w:val="24"/>
          <w:szCs w:val="24"/>
          <w:u w:val="none" w:color="auto"/>
          <w:lang w:val="en-US" w:eastAsia="zh-CN"/>
        </w:rPr>
        <w:t>教师是人类灵魂的工程师，是人类文明的传承者。长期以来，广大教师贯彻党的教育方针，教书育人，呕心沥血，默默奉献，为国家发展和民族振兴作出了重大贡献。新时代对广大教师落实立德树人根本任务提出新的更高要求，为进一步增强教师的责任感、使命感、荣誉感，规范职业行为，明确师德底线，引导广大教师努力成为有理想信念、有道德情操、有扎实学识、有仁爱之心的好老师，着力培养德智体美劳全面发展的社会主义建设者和接班人，特制定以下准则。</w:t>
      </w:r>
    </w:p>
    <w:p w14:paraId="43923C1E">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一、坚定政治方向。</w:t>
      </w:r>
      <w:r>
        <w:rPr>
          <w:rFonts w:hint="eastAsia" w:ascii="仿宋" w:hAnsi="仿宋" w:eastAsia="仿宋" w:cs="仿宋"/>
          <w:b w:val="0"/>
          <w:bCs/>
          <w:color w:val="auto"/>
          <w:sz w:val="24"/>
          <w:szCs w:val="24"/>
          <w:u w:val="none" w:color="auto"/>
          <w:lang w:val="en-US" w:eastAsia="zh-CN"/>
        </w:rPr>
        <w:t>坚持以习近平新时代中国特色社会主义思想为指导，拥护中国共产党的领导，贯彻党的教育方针；不得在教育教学活动中及其他场合有损害党中央权威、违背党的路线方针政策的言行。</w:t>
      </w:r>
    </w:p>
    <w:p w14:paraId="795041E1">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二、自觉爱国守法。</w:t>
      </w:r>
      <w:r>
        <w:rPr>
          <w:rFonts w:hint="eastAsia" w:ascii="仿宋" w:hAnsi="仿宋" w:eastAsia="仿宋" w:cs="仿宋"/>
          <w:b w:val="0"/>
          <w:bCs/>
          <w:color w:val="auto"/>
          <w:sz w:val="24"/>
          <w:szCs w:val="24"/>
          <w:u w:val="none" w:color="auto"/>
          <w:lang w:val="en-US" w:eastAsia="zh-CN"/>
        </w:rPr>
        <w:t>忠于祖国，忠于人民，恪守宪法原则，遵守法律法规，依法履行教师职责；不得损害国家利益、社会公共利益，或违背社会公序良俗。</w:t>
      </w:r>
    </w:p>
    <w:p w14:paraId="26857379">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三、传播优秀文化。</w:t>
      </w:r>
      <w:r>
        <w:rPr>
          <w:rFonts w:hint="eastAsia" w:ascii="仿宋" w:hAnsi="仿宋" w:eastAsia="仿宋" w:cs="仿宋"/>
          <w:b w:val="0"/>
          <w:bCs/>
          <w:color w:val="auto"/>
          <w:sz w:val="24"/>
          <w:szCs w:val="24"/>
          <w:u w:val="none" w:color="auto"/>
          <w:lang w:val="en-US" w:eastAsia="zh-CN"/>
        </w:rPr>
        <w:t>带头践行社会主义核心价值观，弘扬真善美，传递正能量；不得通过课堂、论坛、讲座、信息网络及其他渠道发表、转发错误观点，或编造散布虚假信息、不良信息。</w:t>
      </w:r>
    </w:p>
    <w:p w14:paraId="5F055F8B">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四、潜心教书育人。</w:t>
      </w:r>
      <w:r>
        <w:rPr>
          <w:rFonts w:hint="eastAsia" w:ascii="仿宋" w:hAnsi="仿宋" w:eastAsia="仿宋" w:cs="仿宋"/>
          <w:b w:val="0"/>
          <w:bCs/>
          <w:color w:val="auto"/>
          <w:sz w:val="24"/>
          <w:szCs w:val="24"/>
          <w:u w:val="none" w:color="auto"/>
          <w:lang w:val="en-US" w:eastAsia="zh-CN"/>
        </w:rPr>
        <w:t>落实立德树人根本任务，遵循教育规律和学生成长规律，因材施教，教学相长；不得违反教学纪律，敷衍教学，或擅自从事影响教育教学本职工作的兼职兼薪行为。</w:t>
      </w:r>
    </w:p>
    <w:p w14:paraId="76C8399E">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五、关心爱护学生。</w:t>
      </w:r>
      <w:r>
        <w:rPr>
          <w:rFonts w:hint="eastAsia" w:ascii="仿宋" w:hAnsi="仿宋" w:eastAsia="仿宋" w:cs="仿宋"/>
          <w:b w:val="0"/>
          <w:bCs/>
          <w:color w:val="auto"/>
          <w:sz w:val="24"/>
          <w:szCs w:val="24"/>
          <w:u w:val="none" w:color="auto"/>
          <w:lang w:val="en-US" w:eastAsia="zh-CN"/>
        </w:rPr>
        <w:t>严慈相济，诲人不倦，真心关爱学生，严格要求学生，做学生良师益友；不得要求学生从事与教学、科研、社会服务无关的事宜。</w:t>
      </w:r>
    </w:p>
    <w:p w14:paraId="0D7530FE">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六、坚持言行雅正。</w:t>
      </w:r>
      <w:r>
        <w:rPr>
          <w:rFonts w:hint="eastAsia" w:ascii="仿宋" w:hAnsi="仿宋" w:eastAsia="仿宋" w:cs="仿宋"/>
          <w:b w:val="0"/>
          <w:bCs/>
          <w:color w:val="auto"/>
          <w:sz w:val="24"/>
          <w:szCs w:val="24"/>
          <w:u w:val="none" w:color="auto"/>
          <w:lang w:val="en-US" w:eastAsia="zh-CN"/>
        </w:rPr>
        <w:t>为人师表，以身作则，举止文明，作风正派，自重自爱；不得与学生发生任何不正当关系，严禁任何形式的猥亵、性骚扰行为。</w:t>
      </w:r>
    </w:p>
    <w:p w14:paraId="41ACF416">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七、遵守学术规范。</w:t>
      </w:r>
      <w:r>
        <w:rPr>
          <w:rFonts w:hint="eastAsia" w:ascii="仿宋" w:hAnsi="仿宋" w:eastAsia="仿宋" w:cs="仿宋"/>
          <w:b w:val="0"/>
          <w:bCs/>
          <w:color w:val="auto"/>
          <w:sz w:val="24"/>
          <w:szCs w:val="24"/>
          <w:u w:val="none" w:color="auto"/>
          <w:lang w:val="en-US" w:eastAsia="zh-CN"/>
        </w:rPr>
        <w:t>严谨治学，力戒浮躁，潜心问道，勇于探索，坚守学术良知，反对学术不端；不得抄袭剽窃、篡改侵吞他人学术成果，或滥用学术资源和学术影响。</w:t>
      </w:r>
    </w:p>
    <w:p w14:paraId="5CCF2192">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八、秉持公平诚信。</w:t>
      </w:r>
      <w:r>
        <w:rPr>
          <w:rFonts w:hint="eastAsia" w:ascii="仿宋" w:hAnsi="仿宋" w:eastAsia="仿宋" w:cs="仿宋"/>
          <w:b w:val="0"/>
          <w:bCs/>
          <w:color w:val="auto"/>
          <w:sz w:val="24"/>
          <w:szCs w:val="24"/>
          <w:u w:val="none" w:color="auto"/>
          <w:lang w:val="en-US" w:eastAsia="zh-CN"/>
        </w:rPr>
        <w:t>坚持原则，处事公道，光明磊落，为人正直；不得在招生、考试、推优、保研、就业及绩效考核、岗位聘用、职称评聘、评优评奖等工作中徇私舞弊、弄虚作假。</w:t>
      </w:r>
    </w:p>
    <w:p w14:paraId="151ADE5C">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九、坚守廉洁自律。</w:t>
      </w:r>
      <w:r>
        <w:rPr>
          <w:rFonts w:hint="eastAsia" w:ascii="仿宋" w:hAnsi="仿宋" w:eastAsia="仿宋" w:cs="仿宋"/>
          <w:b w:val="0"/>
          <w:bCs/>
          <w:color w:val="auto"/>
          <w:sz w:val="24"/>
          <w:szCs w:val="24"/>
          <w:u w:val="none" w:color="auto"/>
          <w:lang w:val="en-US" w:eastAsia="zh-CN"/>
        </w:rPr>
        <w:t>严于律己，清廉从教；不得索要、收受学生及家长财物，不得参加由学生及家长付费的宴请、旅游、娱乐休闲等活动，或利用家长资源谋取私利。</w:t>
      </w:r>
    </w:p>
    <w:p w14:paraId="24CAF11E">
      <w:pPr>
        <w:ind w:firstLine="482" w:firstLineChars="200"/>
        <w:jc w:val="both"/>
        <w:rPr>
          <w:rFonts w:hint="eastAsia" w:ascii="仿宋" w:hAnsi="仿宋" w:eastAsia="仿宋" w:cs="仿宋"/>
          <w:b w:val="0"/>
          <w:bCs/>
          <w:color w:val="auto"/>
          <w:sz w:val="24"/>
          <w:szCs w:val="24"/>
          <w:u w:val="none" w:color="auto"/>
          <w:lang w:val="en-US" w:eastAsia="zh-CN"/>
        </w:rPr>
      </w:pPr>
      <w:r>
        <w:rPr>
          <w:rFonts w:hint="eastAsia" w:ascii="仿宋" w:hAnsi="仿宋" w:eastAsia="仿宋" w:cs="仿宋"/>
          <w:b/>
          <w:bCs w:val="0"/>
          <w:color w:val="auto"/>
          <w:sz w:val="24"/>
          <w:szCs w:val="24"/>
          <w:u w:val="none" w:color="auto"/>
          <w:lang w:val="en-US" w:eastAsia="zh-CN"/>
        </w:rPr>
        <w:t>十、积极奉献社会。</w:t>
      </w:r>
      <w:r>
        <w:rPr>
          <w:rFonts w:hint="eastAsia" w:ascii="仿宋" w:hAnsi="仿宋" w:eastAsia="仿宋" w:cs="仿宋"/>
          <w:b w:val="0"/>
          <w:bCs/>
          <w:color w:val="auto"/>
          <w:sz w:val="24"/>
          <w:szCs w:val="24"/>
          <w:u w:val="none" w:color="auto"/>
          <w:lang w:val="en-US" w:eastAsia="zh-CN"/>
        </w:rPr>
        <w:t>履行社会责任，贡献聪明才智，树立正确义利观；不得假公济私，擅自利用学校名义或校名、校徽、专利、场所等资源谋取个人利益。</w:t>
      </w:r>
    </w:p>
    <w:p w14:paraId="288E1E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汉仪中宋简">
    <w:altName w:val="宋体"/>
    <w:panose1 w:val="02010600000101010101"/>
    <w:charset w:val="86"/>
    <w:family w:val="modern"/>
    <w:pitch w:val="default"/>
    <w:sig w:usb0="00000000" w:usb1="00000000" w:usb2="00000002" w:usb3="00000000" w:csb0="00040000" w:csb1="00000000"/>
  </w:font>
  <w:font w:name="思源黑体 CN Normal">
    <w:altName w:val="黑体"/>
    <w:panose1 w:val="020B0400000000000000"/>
    <w:charset w:val="86"/>
    <w:family w:val="swiss"/>
    <w:pitch w:val="default"/>
    <w:sig w:usb0="00000000" w:usb1="00000000" w:usb2="00000016" w:usb3="00000000" w:csb0="000601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164FB">
    <w:pPr>
      <w:spacing w:line="173" w:lineRule="auto"/>
      <w:ind w:left="4312"/>
      <w:rPr>
        <w:rFonts w:ascii="宋体" w:hAnsi="宋体" w:eastAsia="宋体" w:cs="宋体"/>
        <w:sz w:val="18"/>
        <w:szCs w:val="18"/>
      </w:rPr>
    </w:pPr>
  </w:p>
  <w:p w14:paraId="37438CF5">
    <w:pPr>
      <w:spacing w:line="173" w:lineRule="auto"/>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396B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03DD">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6B16A3">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326</w:t>
                          </w:r>
                          <w:r>
                            <w:rPr>
                              <w:u w:val="none" w:color="auto"/>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66B16A3">
                    <w:pPr>
                      <w:pStyle w:val="6"/>
                      <w:rPr>
                        <w:u w:val="none" w:color="auto"/>
                      </w:rPr>
                    </w:pPr>
                    <w:r>
                      <w:rPr>
                        <w:u w:val="none" w:color="auto"/>
                      </w:rPr>
                      <w:fldChar w:fldCharType="begin"/>
                    </w:r>
                    <w:r>
                      <w:rPr>
                        <w:u w:val="none" w:color="auto"/>
                      </w:rPr>
                      <w:instrText xml:space="preserve"> PAGE  \* MERGEFORMAT </w:instrText>
                    </w:r>
                    <w:r>
                      <w:rPr>
                        <w:u w:val="none" w:color="auto"/>
                      </w:rPr>
                      <w:fldChar w:fldCharType="separate"/>
                    </w:r>
                    <w:r>
                      <w:rPr>
                        <w:u w:val="none" w:color="auto"/>
                      </w:rPr>
                      <w:t>326</w:t>
                    </w:r>
                    <w:r>
                      <w:rPr>
                        <w:u w:val="none" w:color="auto"/>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05665"/>
    <w:rsid w:val="33425009"/>
    <w:rsid w:val="33D11231"/>
    <w:rsid w:val="48305665"/>
    <w:rsid w:val="49B75469"/>
    <w:rsid w:val="6AF42DFF"/>
    <w:rsid w:val="774D78A5"/>
    <w:rsid w:val="7EDA1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500" w:lineRule="exact"/>
      <w:ind w:firstLine="480"/>
    </w:pPr>
    <w:rPr>
      <w:rFonts w:ascii="Times New Roman" w:hAnsi="Times New Roman"/>
      <w:kern w:val="0"/>
      <w:sz w:val="2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2"/>
    <w:basedOn w:val="1"/>
    <w:next w:val="1"/>
    <w:uiPriority w:val="0"/>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14712</Words>
  <Characters>14755</Characters>
  <Lines>0</Lines>
  <Paragraphs>0</Paragraphs>
  <TotalTime>14</TotalTime>
  <ScaleCrop>false</ScaleCrop>
  <LinksUpToDate>false</LinksUpToDate>
  <CharactersWithSpaces>15016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2024-12-19T07:34:00Z</dcterms:created>
  <dc:creator>ちいん</dc:creator>
  <cp:lastModifiedBy>ちいん</cp:lastModifiedBy>
  <dcterms:modified xsi:type="dcterms:W3CDTF">2024-12-25T02:01:26Z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20DD072FEEB54FA98E9A8FC79A91B3C4_11</vt:lpwstr>
  </property>
</Properties>
</file>