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D95EB">
      <w:pPr>
        <w:jc w:val="both"/>
        <w:outlineLvl w:val="9"/>
        <w:rPr>
          <w:rFonts w:cs="宋体"/>
          <w:b/>
          <w:bCs/>
          <w:color w:val="auto"/>
          <w:sz w:val="72"/>
          <w:szCs w:val="72"/>
        </w:rPr>
      </w:pPr>
      <w:bookmarkStart w:id="0" w:name="_Toc22493"/>
      <w:bookmarkStart w:id="1" w:name="_Toc14798"/>
      <w:bookmarkStart w:id="2" w:name="_Toc10882"/>
      <w:bookmarkStart w:id="3" w:name="_Toc13834"/>
      <w:bookmarkStart w:id="4" w:name="_Toc8375"/>
    </w:p>
    <w:p w14:paraId="635E9105">
      <w:pPr>
        <w:jc w:val="center"/>
        <w:outlineLvl w:val="9"/>
        <w:rPr>
          <w:rFonts w:hint="eastAsia"/>
          <w:b/>
          <w:bCs/>
          <w:color w:val="auto"/>
          <w:sz w:val="56"/>
          <w:szCs w:val="56"/>
          <w:lang w:val="en-US" w:eastAsia="zh-CN"/>
        </w:rPr>
      </w:pPr>
    </w:p>
    <w:p w14:paraId="2B388BC3">
      <w:pPr>
        <w:jc w:val="center"/>
        <w:outlineLvl w:val="9"/>
        <w:rPr>
          <w:rFonts w:hint="eastAsia"/>
          <w:b/>
          <w:bCs/>
          <w:color w:val="auto"/>
          <w:sz w:val="56"/>
          <w:szCs w:val="56"/>
          <w:lang w:val="en-US" w:eastAsia="zh-CN"/>
        </w:rPr>
      </w:pPr>
      <w:r>
        <w:rPr>
          <w:b/>
          <w:color w:val="auto"/>
          <w:sz w:val="96"/>
          <w:szCs w:val="96"/>
        </w:rPr>
        <w:drawing>
          <wp:inline distT="0" distB="0" distL="114300" distR="114300">
            <wp:extent cx="1348740" cy="1645920"/>
            <wp:effectExtent l="0" t="0" r="0" b="11430"/>
            <wp:docPr id="1" name="图片 1" descr="吉林动画学院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吉林动画学院院标"/>
                    <pic:cNvPicPr>
                      <a:picLocks noChangeAspect="1"/>
                    </pic:cNvPicPr>
                  </pic:nvPicPr>
                  <pic:blipFill>
                    <a:blip r:embed="rId7"/>
                    <a:stretch>
                      <a:fillRect/>
                    </a:stretch>
                  </pic:blipFill>
                  <pic:spPr>
                    <a:xfrm>
                      <a:off x="0" y="0"/>
                      <a:ext cx="1348740" cy="1645920"/>
                    </a:xfrm>
                    <a:prstGeom prst="rect">
                      <a:avLst/>
                    </a:prstGeom>
                    <a:noFill/>
                    <a:ln>
                      <a:noFill/>
                    </a:ln>
                  </pic:spPr>
                </pic:pic>
              </a:graphicData>
            </a:graphic>
          </wp:inline>
        </w:drawing>
      </w:r>
    </w:p>
    <w:p w14:paraId="10843EAA">
      <w:pPr>
        <w:jc w:val="center"/>
        <w:outlineLvl w:val="9"/>
        <w:rPr>
          <w:rFonts w:hint="eastAsia"/>
          <w:b/>
          <w:bCs/>
          <w:color w:val="auto"/>
          <w:sz w:val="56"/>
          <w:szCs w:val="56"/>
          <w:lang w:val="en-US" w:eastAsia="zh-CN"/>
        </w:rPr>
      </w:pPr>
    </w:p>
    <w:p w14:paraId="39FD3585">
      <w:pPr>
        <w:jc w:val="center"/>
        <w:outlineLvl w:val="9"/>
        <w:rPr>
          <w:rFonts w:hint="eastAsia"/>
          <w:b/>
          <w:bCs/>
          <w:color w:val="auto"/>
          <w:sz w:val="56"/>
          <w:szCs w:val="56"/>
          <w:lang w:val="en-US" w:eastAsia="zh-CN"/>
        </w:rPr>
      </w:pPr>
      <w:r>
        <w:rPr>
          <w:color w:val="auto"/>
          <w:sz w:val="21"/>
        </w:rPr>
        <mc:AlternateContent>
          <mc:Choice Requires="wps">
            <w:drawing>
              <wp:anchor distT="0" distB="0" distL="114300" distR="114300" simplePos="0" relativeHeight="251659264" behindDoc="0" locked="0" layoutInCell="1" allowOverlap="1">
                <wp:simplePos x="0" y="0"/>
                <wp:positionH relativeFrom="column">
                  <wp:posOffset>-478790</wp:posOffset>
                </wp:positionH>
                <wp:positionV relativeFrom="paragraph">
                  <wp:posOffset>104775</wp:posOffset>
                </wp:positionV>
                <wp:extent cx="6223000" cy="14300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223000" cy="1430020"/>
                        </a:xfrm>
                        <a:prstGeom prst="rect">
                          <a:avLst/>
                        </a:prstGeom>
                        <a:noFill/>
                        <a:ln>
                          <a:noFill/>
                        </a:ln>
                      </wps:spPr>
                      <wps:txbx>
                        <w:txbxContent>
                          <w:p w14:paraId="075A0F18">
                            <w:pPr>
                              <w:snapToGrid w:val="0"/>
                              <w:jc w:val="center"/>
                              <w:rPr>
                                <w:rFonts w:hint="eastAsia" w:ascii="方正小标宋_GBK" w:hAnsi="方正小标宋_GBK" w:eastAsia="方正小标宋_GBK" w:cs="方正小标宋_GBK"/>
                                <w:color w:val="000000"/>
                                <w:kern w:val="24"/>
                                <w:sz w:val="72"/>
                                <w:szCs w:val="72"/>
                                <w:lang w:val="en-US" w:eastAsia="zh-CN"/>
                              </w:rPr>
                            </w:pPr>
                            <w:r>
                              <w:rPr>
                                <w:rFonts w:hint="eastAsia" w:ascii="方正小标宋_GBK" w:hAnsi="方正小标宋_GBK" w:eastAsia="方正小标宋_GBK" w:cs="方正小标宋_GBK"/>
                                <w:color w:val="000000"/>
                                <w:kern w:val="24"/>
                                <w:sz w:val="72"/>
                                <w:szCs w:val="72"/>
                                <w:lang w:val="en-US" w:eastAsia="zh-CN"/>
                              </w:rPr>
                              <w:t>国家教育教学法律法规汇编</w:t>
                            </w:r>
                          </w:p>
                          <w:p w14:paraId="7B4E9872">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黑体" w:hAnsi="黑体" w:eastAsia="黑体" w:cs="黑体"/>
                                <w:b/>
                                <w:bCs/>
                                <w:i w:val="0"/>
                                <w:iCs w:val="0"/>
                                <w:caps w:val="0"/>
                                <w:color w:val="auto"/>
                                <w:spacing w:val="0"/>
                                <w:kern w:val="44"/>
                                <w:sz w:val="36"/>
                                <w:szCs w:val="36"/>
                                <w:shd w:val="clear" w:color="auto" w:fill="FFFFFF"/>
                                <w:lang w:val="en-US" w:eastAsia="zh-CN" w:bidi="ar"/>
                              </w:rPr>
                            </w:pPr>
                            <w:r>
                              <w:rPr>
                                <w:rStyle w:val="14"/>
                                <w:rFonts w:hint="eastAsia" w:ascii="黑体" w:hAnsi="黑体" w:eastAsia="黑体" w:cs="黑体"/>
                                <w:color w:val="auto"/>
                                <w:sz w:val="36"/>
                                <w:szCs w:val="36"/>
                                <w:shd w:val="clear" w:color="auto" w:fill="FFFFFF"/>
                                <w:lang w:val="en-US" w:eastAsia="zh-CN"/>
                              </w:rPr>
                              <w:t xml:space="preserve">第六编 </w:t>
                            </w:r>
                            <w:r>
                              <w:rPr>
                                <w:rStyle w:val="14"/>
                                <w:rFonts w:hint="eastAsia" w:ascii="黑体" w:hAnsi="黑体" w:eastAsia="黑体" w:cs="黑体"/>
                                <w:color w:val="auto"/>
                                <w:sz w:val="36"/>
                                <w:szCs w:val="36"/>
                                <w:shd w:val="clear" w:color="auto" w:fill="FFFFFF"/>
                              </w:rPr>
                              <w:t>院校信息公开管理</w:t>
                            </w:r>
                          </w:p>
                          <w:p w14:paraId="5E0864CA">
                            <w:pPr>
                              <w:pStyle w:val="2"/>
                              <w:rPr>
                                <w:rFonts w:hint="eastAsia"/>
                                <w:lang w:val="en-US" w:eastAsia="zh-CN"/>
                              </w:rPr>
                            </w:pPr>
                          </w:p>
                        </w:txbxContent>
                      </wps:txbx>
                      <wps:bodyPr lIns="0" tIns="0" rIns="0" bIns="0" upright="1"/>
                    </wps:wsp>
                  </a:graphicData>
                </a:graphic>
              </wp:anchor>
            </w:drawing>
          </mc:Choice>
          <mc:Fallback>
            <w:pict>
              <v:shape id="_x0000_s1026" o:spid="_x0000_s1026" o:spt="202" type="#_x0000_t202" style="position:absolute;left:0pt;margin-left:-37.7pt;margin-top:8.25pt;height:112.6pt;width:490pt;z-index:251659264;mso-width-relative:page;mso-height-relative:page;" filled="f" stroked="f" coordsize="21600,21600" o:gfxdata="UEsDBAoAAAAAAIdO4kAAAAAAAAAAAAAAAAAEAAAAZHJzL1BLAwQUAAAACACHTuJAyObnO9oAAAAK&#10;AQAADwAAAGRycy9kb3ducmV2LnhtbE2Py07DMBBF90j8gzWV2LV2qjSlaZwKIVghIdKwYOnEbmI1&#10;HofYffD3DKuyHN2je88Uu6sb2NlMwXqUkCwEMIOt1xY7CZ/16/wRWIgKtRo8Ggk/JsCuvL8rVK79&#10;BStz3seOUQmGXEnoYxxzzkPbG6fCwo8GKTv4yalI59RxPakLlbuBL4XIuFMWaaFXo3nuTXvcn5yE&#10;py+sXuz3e/NRHSpb1xuBb9lRyodZIrbAornGGwx/+qQOJTk1/oQ6sEHCfL1KCaUgWwEjYCPSDFgj&#10;YZkma+Blwf+/UP4CUEsDBBQAAAAIAIdO4kCUcOjAuQEAAHMDAAAOAAAAZHJzL2Uyb0RvYy54bWyt&#10;U8GO0zAQvSPxD5bv1GlAKxQ1XQlVi5AQIC18gOs4jSXbY43dJv0B+ANOXLjzXf0Oxm7TheWyBy7O&#10;ZGby5r03zup2cpYdNEYDvuXLRcWZ9go643ct//L57sVrzmKSvpMWvG75UUd+u37+bDWGRtcwgO00&#10;MgLxsRlDy4eUQiNEVIN2Mi4gaE/FHtDJRK+4Ex3KkdCdFXVV3YgRsAsISsdI2c25yC+I+BRA6Huj&#10;9AbU3mmfzqiorUwkKQ4mRL4ubPteq/Sx76NOzLaclKZy0hCKt/kU65VsdijDYNSFgnwKhUeanDSe&#10;hl6hNjJJtkfzD5QzCiFCnxYKnDgLKY6QimX1yJv7QQZdtJDVMVxNj/8PVn04fEJmupbXnHnpaOGn&#10;799OP36dfn5ldbZnDLGhrvtAfWl6AxNdmjkfKZlVTz26/CQ9jOpk7vFqrp4SU5S8qeuXVUUlRbXl&#10;K4rrYr94+DxgTG81OJaDliNtr5gqD+9jIirUOrfkaR7ujLVlg9b/laDGnBGZ+5ljjtK0nS6CttAd&#10;SY9958nLfC/mAOdgOwf7gGY3EJ2iukDSLgqZy73Jy/7zvQx++Ff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I5uc72gAAAAoBAAAPAAAAAAAAAAEAIAAAACIAAABkcnMvZG93bnJldi54bWxQSwEC&#10;FAAUAAAACACHTuJAlHDowLkBAABzAwAADgAAAAAAAAABACAAAAApAQAAZHJzL2Uyb0RvYy54bWxQ&#10;SwUGAAAAAAYABgBZAQAAVAUAAAAA&#10;">
                <v:fill on="f" focussize="0,0"/>
                <v:stroke on="f"/>
                <v:imagedata o:title=""/>
                <o:lock v:ext="edit" aspectratio="f"/>
                <v:textbox inset="0mm,0mm,0mm,0mm">
                  <w:txbxContent>
                    <w:p w14:paraId="075A0F18">
                      <w:pPr>
                        <w:snapToGrid w:val="0"/>
                        <w:jc w:val="center"/>
                        <w:rPr>
                          <w:rFonts w:hint="eastAsia" w:ascii="方正小标宋_GBK" w:hAnsi="方正小标宋_GBK" w:eastAsia="方正小标宋_GBK" w:cs="方正小标宋_GBK"/>
                          <w:color w:val="000000"/>
                          <w:kern w:val="24"/>
                          <w:sz w:val="72"/>
                          <w:szCs w:val="72"/>
                          <w:lang w:val="en-US" w:eastAsia="zh-CN"/>
                        </w:rPr>
                      </w:pPr>
                      <w:r>
                        <w:rPr>
                          <w:rFonts w:hint="eastAsia" w:ascii="方正小标宋_GBK" w:hAnsi="方正小标宋_GBK" w:eastAsia="方正小标宋_GBK" w:cs="方正小标宋_GBK"/>
                          <w:color w:val="000000"/>
                          <w:kern w:val="24"/>
                          <w:sz w:val="72"/>
                          <w:szCs w:val="72"/>
                          <w:lang w:val="en-US" w:eastAsia="zh-CN"/>
                        </w:rPr>
                        <w:t>国家教育教学法律法规汇编</w:t>
                      </w:r>
                    </w:p>
                    <w:p w14:paraId="7B4E9872">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黑体" w:hAnsi="黑体" w:eastAsia="黑体" w:cs="黑体"/>
                          <w:b/>
                          <w:bCs/>
                          <w:i w:val="0"/>
                          <w:iCs w:val="0"/>
                          <w:caps w:val="0"/>
                          <w:color w:val="auto"/>
                          <w:spacing w:val="0"/>
                          <w:kern w:val="44"/>
                          <w:sz w:val="36"/>
                          <w:szCs w:val="36"/>
                          <w:shd w:val="clear" w:color="auto" w:fill="FFFFFF"/>
                          <w:lang w:val="en-US" w:eastAsia="zh-CN" w:bidi="ar"/>
                        </w:rPr>
                      </w:pPr>
                      <w:r>
                        <w:rPr>
                          <w:rStyle w:val="14"/>
                          <w:rFonts w:hint="eastAsia" w:ascii="黑体" w:hAnsi="黑体" w:eastAsia="黑体" w:cs="黑体"/>
                          <w:color w:val="auto"/>
                          <w:sz w:val="36"/>
                          <w:szCs w:val="36"/>
                          <w:shd w:val="clear" w:color="auto" w:fill="FFFFFF"/>
                          <w:lang w:val="en-US" w:eastAsia="zh-CN"/>
                        </w:rPr>
                        <w:t xml:space="preserve">第六编 </w:t>
                      </w:r>
                      <w:r>
                        <w:rPr>
                          <w:rStyle w:val="14"/>
                          <w:rFonts w:hint="eastAsia" w:ascii="黑体" w:hAnsi="黑体" w:eastAsia="黑体" w:cs="黑体"/>
                          <w:color w:val="auto"/>
                          <w:sz w:val="36"/>
                          <w:szCs w:val="36"/>
                          <w:shd w:val="clear" w:color="auto" w:fill="FFFFFF"/>
                        </w:rPr>
                        <w:t>院校信息公开管理</w:t>
                      </w:r>
                    </w:p>
                    <w:p w14:paraId="5E0864CA">
                      <w:pPr>
                        <w:pStyle w:val="2"/>
                        <w:rPr>
                          <w:rFonts w:hint="eastAsia"/>
                          <w:lang w:val="en-US" w:eastAsia="zh-CN"/>
                        </w:rPr>
                      </w:pPr>
                    </w:p>
                  </w:txbxContent>
                </v:textbox>
              </v:shape>
            </w:pict>
          </mc:Fallback>
        </mc:AlternateContent>
      </w:r>
    </w:p>
    <w:p w14:paraId="63C0117C">
      <w:pPr>
        <w:jc w:val="center"/>
        <w:outlineLvl w:val="9"/>
        <w:rPr>
          <w:rFonts w:hint="eastAsia"/>
          <w:b/>
          <w:bCs/>
          <w:color w:val="auto"/>
          <w:sz w:val="56"/>
          <w:szCs w:val="56"/>
          <w:lang w:val="en-US" w:eastAsia="zh-CN"/>
        </w:rPr>
      </w:pPr>
    </w:p>
    <w:p w14:paraId="176168BE">
      <w:pPr>
        <w:jc w:val="both"/>
        <w:outlineLvl w:val="9"/>
        <w:rPr>
          <w:rFonts w:hint="eastAsia" w:ascii="宋体" w:hAnsi="宋体" w:eastAsia="宋体" w:cs="宋体"/>
          <w:b/>
          <w:bCs/>
          <w:color w:val="auto"/>
          <w:sz w:val="48"/>
          <w:szCs w:val="48"/>
          <w:lang w:val="en-US" w:eastAsia="zh-CN"/>
        </w:rPr>
      </w:pPr>
    </w:p>
    <w:p w14:paraId="054CEB4C">
      <w:pPr>
        <w:tabs>
          <w:tab w:val="left" w:pos="2726"/>
        </w:tabs>
        <w:jc w:val="both"/>
        <w:rPr>
          <w:rFonts w:hint="eastAsia" w:ascii="宋体" w:hAnsi="宋体" w:eastAsia="宋体" w:cs="宋体"/>
          <w:b/>
          <w:bCs/>
          <w:color w:val="auto"/>
          <w:sz w:val="36"/>
          <w:szCs w:val="36"/>
          <w:lang w:val="en-US" w:eastAsia="zh-CN"/>
        </w:rPr>
      </w:pPr>
    </w:p>
    <w:p w14:paraId="45789293">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55CB89B7">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31F08C82">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5487E56D">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652BE696">
      <w:pPr>
        <w:tabs>
          <w:tab w:val="left" w:pos="2726"/>
        </w:tabs>
        <w:jc w:val="center"/>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吉林动画学院校务部</w:t>
      </w:r>
    </w:p>
    <w:p w14:paraId="4AA4173C">
      <w:pPr>
        <w:tabs>
          <w:tab w:val="left" w:pos="2726"/>
        </w:tabs>
        <w:jc w:val="center"/>
        <w:rPr>
          <w:rFonts w:hint="eastAsia" w:ascii="楷体" w:hAnsi="楷体" w:eastAsia="楷体" w:cs="楷体"/>
          <w:b/>
          <w:bCs/>
          <w:color w:val="auto"/>
          <w:sz w:val="56"/>
          <w:szCs w:val="56"/>
          <w:lang w:val="en-US" w:eastAsia="zh-CN"/>
        </w:rPr>
        <w:sectPr>
          <w:footerReference r:id="rId3" w:type="default"/>
          <w:pgSz w:w="11905" w:h="16838"/>
          <w:pgMar w:top="1417" w:right="1417" w:bottom="1417" w:left="1701" w:header="850" w:footer="992" w:gutter="0"/>
          <w:pgNumType w:fmt="decimal"/>
          <w:cols w:space="720" w:num="1"/>
          <w:rtlGutter w:val="0"/>
          <w:docGrid w:type="lines" w:linePitch="318" w:charSpace="0"/>
        </w:sectPr>
      </w:pPr>
      <w:r>
        <w:rPr>
          <w:rFonts w:hint="eastAsia" w:ascii="方正仿宋简体" w:hAnsi="方正仿宋简体" w:eastAsia="方正仿宋简体" w:cs="方正仿宋简体"/>
          <w:b/>
          <w:bCs/>
          <w:color w:val="auto"/>
          <w:sz w:val="32"/>
          <w:szCs w:val="32"/>
          <w:lang w:val="en-US" w:eastAsia="zh-CN"/>
        </w:rPr>
        <w:t>（2024年编</w:t>
      </w:r>
      <w:r>
        <w:rPr>
          <w:color w:val="auto"/>
        </w:rPr>
        <mc:AlternateContent>
          <mc:Choice Requires="wps">
            <w:drawing>
              <wp:anchor distT="0" distB="0" distL="114300" distR="114300" simplePos="0" relativeHeight="251660288" behindDoc="0" locked="0" layoutInCell="1" allowOverlap="1">
                <wp:simplePos x="0" y="0"/>
                <wp:positionH relativeFrom="margin">
                  <wp:posOffset>405130</wp:posOffset>
                </wp:positionH>
                <wp:positionV relativeFrom="paragraph">
                  <wp:posOffset>8450580</wp:posOffset>
                </wp:positionV>
                <wp:extent cx="4768850" cy="594360"/>
                <wp:effectExtent l="0" t="0" r="0" b="0"/>
                <wp:wrapNone/>
                <wp:docPr id="8" name="文本框 8"/>
                <wp:cNvGraphicFramePr/>
                <a:graphic xmlns:a="http://schemas.openxmlformats.org/drawingml/2006/main">
                  <a:graphicData uri="http://schemas.microsoft.com/office/word/2010/wordprocessingShape">
                    <wps:wsp>
                      <wps:cNvSpPr txBox="1"/>
                      <wps:spPr>
                        <a:xfrm>
                          <a:off x="1395730" y="9364980"/>
                          <a:ext cx="4768850" cy="594360"/>
                        </a:xfrm>
                        <a:prstGeom prst="rect">
                          <a:avLst/>
                        </a:prstGeom>
                        <a:noFill/>
                        <a:ln>
                          <a:noFill/>
                        </a:ln>
                        <a:effectLst/>
                      </wps:spPr>
                      <wps:txbx>
                        <w:txbxContent>
                          <w:p w14:paraId="43F862AE">
                            <w:pPr>
                              <w:jc w:val="center"/>
                              <w:rPr>
                                <w:rFonts w:hint="eastAsia" w:ascii="汉仪中宋简" w:hAnsi="思源黑体 CN Normal" w:eastAsia="汉仪中宋简"/>
                                <w:color w:val="000000"/>
                                <w:kern w:val="0"/>
                                <w:sz w:val="16"/>
                                <w:szCs w:val="16"/>
                                <w:lang w:eastAsia="zh-CN"/>
                              </w:rPr>
                            </w:pPr>
                            <w:r>
                              <w:rPr>
                                <w:rFonts w:hint="eastAsia" w:ascii="汉仪中宋简" w:hAnsi="思源黑体 CN Normal" w:eastAsia="汉仪中宋简"/>
                                <w:color w:val="000000"/>
                                <w:kern w:val="24"/>
                                <w:sz w:val="28"/>
                                <w:szCs w:val="28"/>
                                <w:lang w:eastAsia="zh-CN"/>
                              </w:rPr>
                              <w:t>校务部</w:t>
                            </w:r>
                          </w:p>
                        </w:txbxContent>
                      </wps:txbx>
                      <wps:bodyPr wrap="square" lIns="0" tIns="0" rIns="0" bIns="0" rtlCol="0">
                        <a:spAutoFit/>
                      </wps:bodyPr>
                    </wps:wsp>
                  </a:graphicData>
                </a:graphic>
              </wp:anchor>
            </w:drawing>
          </mc:Choice>
          <mc:Fallback>
            <w:pict>
              <v:shape id="_x0000_s1026" o:spid="_x0000_s1026" o:spt="202" type="#_x0000_t202" style="position:absolute;left:0pt;margin-left:31.9pt;margin-top:665.4pt;height:46.8pt;width:375.5pt;mso-position-horizontal-relative:margin;z-index:251660288;mso-width-relative:page;mso-height-relative:page;" filled="f" stroked="f" coordsize="21600,21600" o:gfxdata="UEsDBAoAAAAAAIdO4kAAAAAAAAAAAAAAAAAEAAAAZHJzL1BLAwQUAAAACACHTuJAZdAwmdcAAAAM&#10;AQAADwAAAGRycy9kb3ducmV2LnhtbE2PMU/DMBCFdyT+g3VILIg6TqKqhDgdECxslC5sbnwkEfY5&#10;it0k9NdzTLC9e/f07rt6v3onZpziEEiD2mQgkNpgB+o0HN9f7ncgYjJkjQuEGr4xwr65vqpNZcNC&#10;bzgfUie4hGJlNPQpjZWUse3Rm7gJIxLvPsPkTeJx6qSdzMLl3sk8y7bSm4H4Qm9GfOqx/TqcvYbt&#10;+jzevT5gvlxaN9PHRamESuvbG5U9gki4pr8w/OIzOjTMdApnslE47iiYPLFfFBkrTuxUyeLEVpmX&#10;Jcimlv+faH4AUEsDBBQAAAAIAIdO4kA1ag+m4QEAALMDAAAOAAAAZHJzL2Uyb0RvYy54bWytU0tu&#10;2zAQ3RfoHQjuaznxJ7JgOWhrpChQtAXSHICmKIsAf+XQlnyB9gZdddN9z+VzdEhJSZpusuhGGg6f&#10;3sx7M1pfd1qRo/AgrSnpxWRKiTDcVtLsS3r35eZVTgkEZiqmrBElPQmg15uXL9atK8SlbayqhCdI&#10;YqBoXUmbEFyRZcAboRlMrBMGL2vrNQt49Pus8qxFdq2yy+l0mbXWV85bLgAwu+0v6cDon0No61py&#10;sbX8oIUJPasXigWUBI10QDep27oWPHyqaxCBqJKi0pCeWATjXXxmmzUr9p65RvKhBfacFp5o0kwa&#10;LHpPtWWBkYOX/1Bpyb0FW4cJtzrrhSRHUMXF9Ik3tw1zImlBq8Hdmw7/j5Z/PH72RFYlxbEbpnHg&#10;5x/fzz9/n399I3m0p3VQIOrWIS50b2yHSzPmAZNRdVd7Hd+oh8T72WpxNUOLTyVdzZbzVT4YLbpA&#10;OALmV8s8XyCAI2Kxms+WCZA9MDkP4Z2wmsSgpB4Hmfxlxw8QsCuEjpBY2NgbqVQapjJ/JRDYZ0Ta&#10;huHrKKpvPkah23WD0p2tTii0xY0oKXw9MC8oUe8NWh7XZwz8GOzGwAf11qYli+XBvT4E7Cm1Gkv0&#10;vNh3POAsk4Jh7+KyPD4n1MO/tvk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dAwmdcAAAAMAQAA&#10;DwAAAAAAAAABACAAAAAiAAAAZHJzL2Rvd25yZXYueG1sUEsBAhQAFAAAAAgAh07iQDVqD6bhAQAA&#10;swMAAA4AAAAAAAAAAQAgAAAAJgEAAGRycy9lMm9Eb2MueG1sUEsFBgAAAAAGAAYAWQEAAHkFAAAA&#10;AA==&#10;">
                <v:fill on="f" focussize="0,0"/>
                <v:stroke on="f"/>
                <v:imagedata o:title=""/>
                <o:lock v:ext="edit" aspectratio="f"/>
                <v:textbox inset="0mm,0mm,0mm,0mm" style="mso-fit-shape-to-text:t;">
                  <w:txbxContent>
                    <w:p w14:paraId="43F862AE">
                      <w:pPr>
                        <w:jc w:val="center"/>
                        <w:rPr>
                          <w:rFonts w:hint="eastAsia" w:ascii="汉仪中宋简" w:hAnsi="思源黑体 CN Normal" w:eastAsia="汉仪中宋简"/>
                          <w:color w:val="000000"/>
                          <w:kern w:val="0"/>
                          <w:sz w:val="16"/>
                          <w:szCs w:val="16"/>
                          <w:lang w:eastAsia="zh-CN"/>
                        </w:rPr>
                      </w:pPr>
                      <w:r>
                        <w:rPr>
                          <w:rFonts w:hint="eastAsia" w:ascii="汉仪中宋简" w:hAnsi="思源黑体 CN Normal" w:eastAsia="汉仪中宋简"/>
                          <w:color w:val="000000"/>
                          <w:kern w:val="24"/>
                          <w:sz w:val="28"/>
                          <w:szCs w:val="28"/>
                          <w:lang w:eastAsia="zh-CN"/>
                        </w:rPr>
                        <w:t>校务部</w:t>
                      </w:r>
                    </w:p>
                  </w:txbxContent>
                </v:textbox>
              </v:shape>
            </w:pict>
          </mc:Fallback>
        </mc:AlternateContent>
      </w:r>
      <w:r>
        <w:rPr>
          <w:rFonts w:hint="eastAsia" w:ascii="方正仿宋简体" w:hAnsi="方正仿宋简体" w:eastAsia="方正仿宋简体" w:cs="方正仿宋简体"/>
          <w:b/>
          <w:bCs/>
          <w:color w:val="auto"/>
          <w:sz w:val="32"/>
          <w:szCs w:val="32"/>
          <w:lang w:val="en-US" w:eastAsia="zh-CN"/>
        </w:rPr>
        <w:t>）</w:t>
      </w:r>
    </w:p>
    <w:p w14:paraId="64EEF2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0"/>
        <w:rPr>
          <w:rFonts w:hint="eastAsia" w:ascii="黑体" w:hAnsi="黑体" w:eastAsia="黑体" w:cs="黑体"/>
          <w:i w:val="0"/>
          <w:iCs w:val="0"/>
          <w:caps w:val="0"/>
          <w:color w:val="auto"/>
          <w:spacing w:val="0"/>
          <w:sz w:val="36"/>
          <w:szCs w:val="36"/>
          <w:lang w:val="en-US" w:eastAsia="zh-CN"/>
        </w:rPr>
      </w:pPr>
      <w:r>
        <w:rPr>
          <w:rFonts w:hint="eastAsia" w:ascii="黑体" w:hAnsi="黑体" w:eastAsia="黑体" w:cs="黑体"/>
          <w:i w:val="0"/>
          <w:iCs w:val="0"/>
          <w:caps w:val="0"/>
          <w:color w:val="auto"/>
          <w:spacing w:val="0"/>
          <w:sz w:val="36"/>
          <w:szCs w:val="36"/>
          <w:lang w:val="en-US" w:eastAsia="zh-CN"/>
        </w:rPr>
        <w:t>目  录</w:t>
      </w:r>
      <w:bookmarkEnd w:id="0"/>
      <w:bookmarkEnd w:id="1"/>
      <w:bookmarkEnd w:id="2"/>
    </w:p>
    <w:p w14:paraId="7DC98B38">
      <w:pPr>
        <w:pStyle w:val="10"/>
        <w:tabs>
          <w:tab w:val="right" w:leader="dot" w:pos="8306"/>
        </w:tabs>
      </w:pPr>
      <w:r>
        <w:rPr>
          <w:color w:val="auto"/>
        </w:rPr>
        <w:fldChar w:fldCharType="begin"/>
      </w:r>
      <w:r>
        <w:rPr>
          <w:color w:val="auto"/>
        </w:rPr>
        <w:instrText xml:space="preserve">TOC \o "1-2" \h \u </w:instrText>
      </w:r>
      <w:r>
        <w:rPr>
          <w:color w:val="auto"/>
        </w:rPr>
        <w:fldChar w:fldCharType="separate"/>
      </w:r>
    </w:p>
    <w:p w14:paraId="54ED63CD">
      <w:pPr>
        <w:pStyle w:val="9"/>
        <w:tabs>
          <w:tab w:val="right" w:leader="dot" w:pos="8306"/>
        </w:tabs>
        <w:rPr>
          <w:highlight w:val="none"/>
        </w:rPr>
      </w:pPr>
      <w:r>
        <w:rPr>
          <w:color w:val="auto"/>
          <w:highlight w:val="none"/>
        </w:rPr>
        <w:fldChar w:fldCharType="begin"/>
      </w:r>
      <w:r>
        <w:rPr>
          <w:highlight w:val="none"/>
        </w:rPr>
        <w:instrText xml:space="preserve"> HYPERLINK \l _Toc8375 </w:instrText>
      </w:r>
      <w:r>
        <w:rPr>
          <w:highlight w:val="none"/>
        </w:rPr>
        <w:fldChar w:fldCharType="separate"/>
      </w:r>
      <w:r>
        <w:rPr>
          <w:rFonts w:hint="eastAsia" w:ascii="黑体" w:hAnsi="黑体" w:eastAsia="黑体" w:cs="黑体"/>
          <w:szCs w:val="36"/>
          <w:highlight w:val="none"/>
          <w:shd w:val="clear" w:color="auto" w:fill="FFFFFF"/>
          <w:lang w:val="en-US" w:eastAsia="zh-CN"/>
        </w:rPr>
        <w:t xml:space="preserve">第六编 </w:t>
      </w:r>
      <w:r>
        <w:rPr>
          <w:rFonts w:hint="eastAsia" w:ascii="黑体" w:hAnsi="黑体" w:eastAsia="黑体" w:cs="黑体"/>
          <w:szCs w:val="36"/>
          <w:highlight w:val="none"/>
          <w:shd w:val="clear" w:color="auto" w:fill="FFFFFF"/>
        </w:rPr>
        <w:t>院校信息公开管理</w:t>
      </w:r>
      <w:r>
        <w:rPr>
          <w:highlight w:val="none"/>
        </w:rPr>
        <w:tab/>
      </w:r>
      <w:r>
        <w:rPr>
          <w:highlight w:val="none"/>
        </w:rPr>
        <w:fldChar w:fldCharType="begin"/>
      </w:r>
      <w:r>
        <w:rPr>
          <w:highlight w:val="none"/>
        </w:rPr>
        <w:instrText xml:space="preserve"> PAGEREF _Toc8375 \h </w:instrText>
      </w:r>
      <w:r>
        <w:rPr>
          <w:highlight w:val="none"/>
        </w:rPr>
        <w:fldChar w:fldCharType="separate"/>
      </w:r>
      <w:r>
        <w:rPr>
          <w:highlight w:val="none"/>
        </w:rPr>
        <w:t>1</w:t>
      </w:r>
      <w:r>
        <w:rPr>
          <w:highlight w:val="none"/>
        </w:rPr>
        <w:fldChar w:fldCharType="end"/>
      </w:r>
      <w:r>
        <w:rPr>
          <w:color w:val="auto"/>
          <w:highlight w:val="none"/>
        </w:rPr>
        <w:fldChar w:fldCharType="end"/>
      </w:r>
    </w:p>
    <w:p w14:paraId="7E856FFF">
      <w:pPr>
        <w:pStyle w:val="10"/>
        <w:tabs>
          <w:tab w:val="right" w:leader="dot" w:pos="8306"/>
        </w:tabs>
        <w:rPr>
          <w:highlight w:val="none"/>
        </w:rPr>
      </w:pPr>
      <w:r>
        <w:rPr>
          <w:rFonts w:hint="eastAsia"/>
          <w:color w:val="auto"/>
          <w:highlight w:val="none"/>
          <w:lang w:val="en-US" w:eastAsia="zh-CN"/>
        </w:rPr>
        <w:t>6.1</w:t>
      </w:r>
      <w:r>
        <w:rPr>
          <w:color w:val="auto"/>
          <w:highlight w:val="none"/>
        </w:rPr>
        <w:fldChar w:fldCharType="begin"/>
      </w:r>
      <w:r>
        <w:rPr>
          <w:highlight w:val="none"/>
        </w:rPr>
        <w:instrText xml:space="preserve"> HYPERLINK \l _Toc20122 </w:instrText>
      </w:r>
      <w:r>
        <w:rPr>
          <w:highlight w:val="none"/>
        </w:rPr>
        <w:fldChar w:fldCharType="separate"/>
      </w:r>
      <w:r>
        <w:rPr>
          <w:rFonts w:hint="eastAsia" w:ascii="宋体" w:hAnsi="宋体" w:eastAsia="宋体" w:cs="宋体"/>
          <w:bCs/>
          <w:i w:val="0"/>
          <w:iCs w:val="0"/>
          <w:caps w:val="0"/>
          <w:spacing w:val="0"/>
          <w:kern w:val="44"/>
          <w:szCs w:val="36"/>
          <w:highlight w:val="none"/>
          <w:shd w:val="clear" w:color="auto" w:fill="FFFFFF"/>
          <w:lang w:val="en-US" w:eastAsia="zh-CN" w:bidi="ar"/>
        </w:rPr>
        <w:t>高等学校信息公开办法</w:t>
      </w:r>
      <w:r>
        <w:rPr>
          <w:highlight w:val="none"/>
        </w:rPr>
        <w:tab/>
      </w:r>
      <w:r>
        <w:rPr>
          <w:highlight w:val="none"/>
        </w:rPr>
        <w:fldChar w:fldCharType="begin"/>
      </w:r>
      <w:r>
        <w:rPr>
          <w:highlight w:val="none"/>
        </w:rPr>
        <w:instrText xml:space="preserve"> PAGEREF _Toc20122 \h </w:instrText>
      </w:r>
      <w:r>
        <w:rPr>
          <w:highlight w:val="none"/>
        </w:rPr>
        <w:fldChar w:fldCharType="separate"/>
      </w:r>
      <w:r>
        <w:rPr>
          <w:highlight w:val="none"/>
        </w:rPr>
        <w:t>1</w:t>
      </w:r>
      <w:r>
        <w:rPr>
          <w:highlight w:val="none"/>
        </w:rPr>
        <w:fldChar w:fldCharType="end"/>
      </w:r>
      <w:r>
        <w:rPr>
          <w:color w:val="auto"/>
          <w:highlight w:val="none"/>
        </w:rPr>
        <w:fldChar w:fldCharType="end"/>
      </w:r>
    </w:p>
    <w:p w14:paraId="177E2396">
      <w:pPr>
        <w:rPr>
          <w:color w:val="auto"/>
        </w:rPr>
      </w:pPr>
      <w:r>
        <w:rPr>
          <w:color w:val="auto"/>
        </w:rPr>
        <w:fldChar w:fldCharType="end"/>
      </w:r>
    </w:p>
    <w:p w14:paraId="29CD466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outlineLvl w:val="0"/>
        <w:rPr>
          <w:rStyle w:val="14"/>
          <w:rFonts w:hint="eastAsia" w:ascii="黑体" w:hAnsi="黑体" w:eastAsia="黑体" w:cs="黑体"/>
          <w:color w:val="auto"/>
          <w:sz w:val="36"/>
          <w:szCs w:val="36"/>
          <w:shd w:val="clear" w:color="auto" w:fill="FFFFFF"/>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bookmarkStart w:id="7" w:name="_GoBack"/>
      <w:bookmarkEnd w:id="7"/>
    </w:p>
    <w:p w14:paraId="283D9539">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黑体" w:hAnsi="黑体" w:eastAsia="黑体" w:cs="黑体"/>
          <w:b/>
          <w:bCs/>
          <w:i w:val="0"/>
          <w:iCs w:val="0"/>
          <w:caps w:val="0"/>
          <w:color w:val="auto"/>
          <w:spacing w:val="0"/>
          <w:kern w:val="44"/>
          <w:sz w:val="36"/>
          <w:szCs w:val="36"/>
          <w:shd w:val="clear" w:color="auto" w:fill="FFFFFF"/>
          <w:lang w:val="en-US" w:eastAsia="zh-CN" w:bidi="ar"/>
        </w:rPr>
      </w:pPr>
      <w:r>
        <w:rPr>
          <w:rStyle w:val="14"/>
          <w:rFonts w:hint="eastAsia" w:ascii="黑体" w:hAnsi="黑体" w:eastAsia="黑体" w:cs="黑体"/>
          <w:color w:val="auto"/>
          <w:sz w:val="36"/>
          <w:szCs w:val="36"/>
          <w:shd w:val="clear" w:color="auto" w:fill="FFFFFF"/>
          <w:lang w:val="en-US" w:eastAsia="zh-CN"/>
        </w:rPr>
        <w:t xml:space="preserve">第六编 </w:t>
      </w:r>
      <w:r>
        <w:rPr>
          <w:rStyle w:val="14"/>
          <w:rFonts w:hint="eastAsia" w:ascii="黑体" w:hAnsi="黑体" w:eastAsia="黑体" w:cs="黑体"/>
          <w:color w:val="auto"/>
          <w:sz w:val="36"/>
          <w:szCs w:val="36"/>
          <w:shd w:val="clear" w:color="auto" w:fill="FFFFFF"/>
        </w:rPr>
        <w:t>院校信息公开管理</w:t>
      </w:r>
      <w:bookmarkEnd w:id="3"/>
      <w:bookmarkEnd w:id="4"/>
    </w:p>
    <w:p w14:paraId="705C7A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i w:val="0"/>
          <w:iCs w:val="0"/>
          <w:caps w:val="0"/>
          <w:color w:val="auto"/>
          <w:spacing w:val="0"/>
          <w:kern w:val="44"/>
          <w:sz w:val="36"/>
          <w:szCs w:val="36"/>
          <w:shd w:val="clear" w:color="auto" w:fill="FFFFFF"/>
          <w:lang w:val="en-US" w:eastAsia="zh-CN" w:bidi="ar"/>
        </w:rPr>
      </w:pPr>
      <w:bookmarkStart w:id="5" w:name="_Toc20122"/>
      <w:bookmarkStart w:id="6" w:name="_Toc24749"/>
      <w:r>
        <w:rPr>
          <w:rFonts w:hint="eastAsia" w:ascii="宋体" w:hAnsi="宋体" w:eastAsia="宋体" w:cs="宋体"/>
          <w:b/>
          <w:bCs/>
          <w:i w:val="0"/>
          <w:iCs w:val="0"/>
          <w:caps w:val="0"/>
          <w:color w:val="auto"/>
          <w:spacing w:val="0"/>
          <w:kern w:val="44"/>
          <w:sz w:val="36"/>
          <w:szCs w:val="36"/>
          <w:shd w:val="clear" w:color="auto" w:fill="FFFFFF"/>
          <w:lang w:val="en-US" w:eastAsia="zh-CN" w:bidi="ar"/>
        </w:rPr>
        <w:t>高等学校信息公开办法</w:t>
      </w:r>
      <w:bookmarkEnd w:id="5"/>
      <w:bookmarkEnd w:id="6"/>
    </w:p>
    <w:p w14:paraId="1C6157A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第一章</w:t>
      </w:r>
      <w:r>
        <w:rPr>
          <w:rStyle w:val="14"/>
          <w:rFonts w:hint="eastAsia" w:ascii="黑体" w:hAnsi="黑体" w:eastAsia="黑体" w:cs="黑体"/>
          <w:i w:val="0"/>
          <w:iCs w:val="0"/>
          <w:caps w:val="0"/>
          <w:color w:val="auto"/>
          <w:spacing w:val="0"/>
          <w:sz w:val="24"/>
          <w:szCs w:val="24"/>
          <w:shd w:val="clear" w:color="auto" w:fill="FFFFFF"/>
          <w:lang w:val="en-US" w:eastAsia="zh-CN"/>
        </w:rPr>
        <w:t xml:space="preserve"> </w:t>
      </w:r>
      <w:r>
        <w:rPr>
          <w:rStyle w:val="14"/>
          <w:rFonts w:hint="eastAsia" w:ascii="黑体" w:hAnsi="黑体" w:eastAsia="黑体" w:cs="黑体"/>
          <w:i w:val="0"/>
          <w:iCs w:val="0"/>
          <w:caps w:val="0"/>
          <w:color w:val="auto"/>
          <w:spacing w:val="0"/>
          <w:sz w:val="24"/>
          <w:szCs w:val="24"/>
          <w:shd w:val="clear" w:color="auto" w:fill="FFFFFF"/>
        </w:rPr>
        <w:t>总则</w:t>
      </w:r>
    </w:p>
    <w:p w14:paraId="5868140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第一条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为了保障公民、法人和其他组织依法获取高等学校信息，促进高等学校依法治校，根据高等教育法和政府信息公开条例的有关规定，制定本办法。</w:t>
      </w:r>
    </w:p>
    <w:p w14:paraId="3A8CC2C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高等学校在开展办学活动和提供社会公共服务过程中产生、制作、获取的以一定形式记录、保存的信息，应当按照有关法律法规和本办法的规定公开。</w:t>
      </w:r>
    </w:p>
    <w:p w14:paraId="02EEF22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国务院教育行政部门负责指导、监督全国高等学校信息公开工作。</w:t>
      </w:r>
    </w:p>
    <w:p w14:paraId="43F37D7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省级教育行政部门负责统筹推进、协调、监督本行政区域内高等学校信息公开工作。</w:t>
      </w:r>
    </w:p>
    <w:p w14:paraId="0326118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第四条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高等学校应当遵循公正、公平、便民的原则，建立信息公开工作机制和各项工作制度。</w:t>
      </w:r>
    </w:p>
    <w:p w14:paraId="6861A49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高等学校公开信息，不得危及国家安全、公共安全、经济安全、社会稳定和学校安全稳定。</w:t>
      </w:r>
    </w:p>
    <w:p w14:paraId="0F80AE2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第五条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高等学校应当建立健全信息发布保密审查机制，明确审查的程序和责任。高等学校公开信息前，应当依照法律法规和国家其他有关规定对拟公开的信息进行保密审查。</w:t>
      </w:r>
    </w:p>
    <w:p w14:paraId="3D22121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有关信息依照国家有关规定或者根据实际情况需要审批的，高等学校应当按照规定程序履行审批手续，未经批准不得公开。</w:t>
      </w:r>
    </w:p>
    <w:p w14:paraId="0C1CBC1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第六条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高等学校发现不利于校园和社会稳定的虚假信息或者不完整信息的，应当在其职责范围内及时发布准确信息予以澄清。</w:t>
      </w:r>
    </w:p>
    <w:p w14:paraId="400306F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第二章</w:t>
      </w:r>
      <w:r>
        <w:rPr>
          <w:rStyle w:val="14"/>
          <w:rFonts w:hint="eastAsia" w:ascii="黑体" w:hAnsi="黑体" w:eastAsia="黑体" w:cs="黑体"/>
          <w:i w:val="0"/>
          <w:iCs w:val="0"/>
          <w:caps w:val="0"/>
          <w:color w:val="auto"/>
          <w:spacing w:val="0"/>
          <w:sz w:val="24"/>
          <w:szCs w:val="24"/>
          <w:shd w:val="clear" w:color="auto" w:fill="FFFFFF"/>
          <w:lang w:val="en-US" w:eastAsia="zh-CN"/>
        </w:rPr>
        <w:t xml:space="preserve"> </w:t>
      </w:r>
      <w:r>
        <w:rPr>
          <w:rStyle w:val="14"/>
          <w:rFonts w:hint="eastAsia" w:ascii="黑体" w:hAnsi="黑体" w:eastAsia="黑体" w:cs="黑体"/>
          <w:i w:val="0"/>
          <w:iCs w:val="0"/>
          <w:caps w:val="0"/>
          <w:color w:val="auto"/>
          <w:spacing w:val="0"/>
          <w:sz w:val="24"/>
          <w:szCs w:val="24"/>
          <w:shd w:val="clear" w:color="auto" w:fill="FFFFFF"/>
        </w:rPr>
        <w:t>公开的内容</w:t>
      </w:r>
    </w:p>
    <w:p w14:paraId="16547A5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高等学校应当主动公开以下信息：</w:t>
      </w:r>
    </w:p>
    <w:p w14:paraId="19F99CC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（一）学校名称、办学地点、办学性质、办学宗旨、办学层次、办学规模，内部管理体制、机构设置、学校领导等基本情况；</w:t>
      </w:r>
    </w:p>
    <w:p w14:paraId="6F8FF0A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（二）学校章程以及学校制定的各项规章制度；</w:t>
      </w:r>
    </w:p>
    <w:p w14:paraId="4A32F8D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（三）学校发展规划和年度工作计划；</w:t>
      </w:r>
    </w:p>
    <w:p w14:paraId="7107C5D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（四）各层次、类型学历教育招生、考试与录取规定，学籍管理、学位评定办法，学生申诉途径与处理程序；毕业生就业指导与服务情况等</w:t>
      </w:r>
      <w:r>
        <w:rPr>
          <w:rFonts w:hint="eastAsia" w:ascii="仿宋" w:hAnsi="仿宋" w:eastAsia="仿宋" w:cs="仿宋"/>
          <w:i w:val="0"/>
          <w:iCs w:val="0"/>
          <w:caps w:val="0"/>
          <w:color w:val="auto"/>
          <w:spacing w:val="0"/>
          <w:sz w:val="24"/>
          <w:szCs w:val="24"/>
          <w:lang w:eastAsia="zh-CN"/>
        </w:rPr>
        <w:t>；</w:t>
      </w:r>
    </w:p>
    <w:p w14:paraId="4D25EC7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（五）学科与专业设置，重点学科建设情况，课程与教学计划，实验室、仪器设备配置与图书藏量，教学与科研成果评选，国家组织的教学评估结果等；</w:t>
      </w:r>
    </w:p>
    <w:p w14:paraId="11AEBCE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（六）学生奖学金、助学金、学费减免、助学贷款与勤工俭学的申请与管理规定等；</w:t>
      </w:r>
    </w:p>
    <w:p w14:paraId="637D53E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（七）教师和其他专业技术人员数量、专业技术职务等级，岗位设置管理与聘用办法，教师争议解决办法等</w:t>
      </w:r>
      <w:r>
        <w:rPr>
          <w:rFonts w:hint="eastAsia" w:ascii="仿宋" w:hAnsi="仿宋" w:eastAsia="仿宋" w:cs="仿宋"/>
          <w:i w:val="0"/>
          <w:iCs w:val="0"/>
          <w:caps w:val="0"/>
          <w:color w:val="auto"/>
          <w:spacing w:val="0"/>
          <w:sz w:val="24"/>
          <w:szCs w:val="24"/>
          <w:lang w:eastAsia="zh-CN"/>
        </w:rPr>
        <w:t>；</w:t>
      </w:r>
    </w:p>
    <w:p w14:paraId="1E884C3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（八）收费的项目、依据、标准与投诉方式；</w:t>
      </w:r>
    </w:p>
    <w:p w14:paraId="3DF62D8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（九）财务、资产与财务管理制度，学校经费来源、年度经费预算决算方案，财政性资金、受捐赠财产的使用与管理情况，仪器设备、图书、药品等物资设备采购和重大基建工程的招投标；</w:t>
      </w:r>
    </w:p>
    <w:p w14:paraId="401C95B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（十）自然灾害等突发事件的应急处理预案、处置情况，涉及学校的重大事件的调查和处理情况；</w:t>
      </w:r>
    </w:p>
    <w:p w14:paraId="4DFE58D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（十一）对外交流与中外合作办学情况，外籍教师与留学生的管理制度；</w:t>
      </w:r>
    </w:p>
    <w:p w14:paraId="0CC1247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（十二）</w:t>
      </w:r>
      <w:r>
        <w:rPr>
          <w:rFonts w:hint="eastAsia" w:ascii="仿宋" w:hAnsi="仿宋" w:eastAsia="仿宋" w:cs="仿宋"/>
          <w:i w:val="0"/>
          <w:iCs w:val="0"/>
          <w:caps w:val="0"/>
          <w:color w:val="auto"/>
          <w:spacing w:val="0"/>
          <w:sz w:val="24"/>
          <w:szCs w:val="24"/>
          <w:lang w:eastAsia="zh-CN"/>
        </w:rPr>
        <w:t>法律法规</w:t>
      </w:r>
      <w:r>
        <w:rPr>
          <w:rFonts w:hint="eastAsia" w:ascii="仿宋" w:hAnsi="仿宋" w:eastAsia="仿宋" w:cs="仿宋"/>
          <w:i w:val="0"/>
          <w:iCs w:val="0"/>
          <w:caps w:val="0"/>
          <w:color w:val="auto"/>
          <w:spacing w:val="0"/>
          <w:sz w:val="24"/>
          <w:szCs w:val="24"/>
        </w:rPr>
        <w:t>和规章规定需要公开的其他事项。</w:t>
      </w:r>
    </w:p>
    <w:p w14:paraId="0998804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第八条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除第七条规定需要公开的信息外，高等学校应当明确其他需要主动公开的信息内容与公开范围。</w:t>
      </w:r>
    </w:p>
    <w:p w14:paraId="2FAD8E2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第九条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除高等学校已公开的信息外，公民、法人和其他组织还可以根据自身学习、科研、工作等特殊需要，以书面形式（包括数据电文形式）向学校申请获取相关信息。</w:t>
      </w:r>
    </w:p>
    <w:p w14:paraId="19A316A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第十条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高等学校对下列信息不予公开：</w:t>
      </w:r>
    </w:p>
    <w:p w14:paraId="79FE70F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（一）涉及国家秘密的；</w:t>
      </w:r>
    </w:p>
    <w:p w14:paraId="19768D9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（二）涉及商业秘密的；</w:t>
      </w:r>
    </w:p>
    <w:p w14:paraId="493051C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（三）涉及个人隐私的；</w:t>
      </w:r>
    </w:p>
    <w:p w14:paraId="1486B3F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（四）</w:t>
      </w:r>
      <w:r>
        <w:rPr>
          <w:rFonts w:hint="eastAsia" w:ascii="仿宋" w:hAnsi="仿宋" w:eastAsia="仿宋" w:cs="仿宋"/>
          <w:i w:val="0"/>
          <w:iCs w:val="0"/>
          <w:caps w:val="0"/>
          <w:color w:val="auto"/>
          <w:spacing w:val="0"/>
          <w:sz w:val="24"/>
          <w:szCs w:val="24"/>
          <w:lang w:eastAsia="zh-CN"/>
        </w:rPr>
        <w:t>法律法规</w:t>
      </w:r>
      <w:r>
        <w:rPr>
          <w:rFonts w:hint="eastAsia" w:ascii="仿宋" w:hAnsi="仿宋" w:eastAsia="仿宋" w:cs="仿宋"/>
          <w:i w:val="0"/>
          <w:iCs w:val="0"/>
          <w:caps w:val="0"/>
          <w:color w:val="auto"/>
          <w:spacing w:val="0"/>
          <w:sz w:val="24"/>
          <w:szCs w:val="24"/>
        </w:rPr>
        <w:t>和规章以及学校规定的不予公开的其他信息。</w:t>
      </w:r>
    </w:p>
    <w:p w14:paraId="6E29DF5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其中第（二）项、第（三）项所列的信息，经权利人同意公开或者高校认为不公开可能对公共利益造成重大影响的，可以予以公开。</w:t>
      </w:r>
    </w:p>
    <w:p w14:paraId="2A0535C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第三章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公开的途径和要求</w:t>
      </w:r>
    </w:p>
    <w:p w14:paraId="0E91062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第十一条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高等学校校长领导学校的信息公开工作。校长（学校）办公室为信息公开工作机构，负责学校信息公开的日常工作，具体职责是：</w:t>
      </w:r>
    </w:p>
    <w:p w14:paraId="27A4D2B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（一）具体承办本校信息公开事宜；</w:t>
      </w:r>
    </w:p>
    <w:p w14:paraId="4F5E42B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（二）管理、协调、维护和更新本校公开的信息；</w:t>
      </w:r>
    </w:p>
    <w:p w14:paraId="354556B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（三）统一受理、协调处理、统一答复向本校提出的信息公开申请；</w:t>
      </w:r>
    </w:p>
    <w:p w14:paraId="356EEDF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（四）组织编制本校的信息公开指南、信息公开目录和信息公开工作年度报告；</w:t>
      </w:r>
    </w:p>
    <w:p w14:paraId="767571D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（五）协调对拟公开的学校信息进行保密审查；</w:t>
      </w:r>
    </w:p>
    <w:p w14:paraId="5EDBD50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（六）组织学校信息公开工作的内部评议；</w:t>
      </w:r>
    </w:p>
    <w:p w14:paraId="511FE9D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（七）推进、监督学校内设组织机构的信息公开；</w:t>
      </w:r>
    </w:p>
    <w:p w14:paraId="3F16FDF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（八）承担与本校信息公开有关的其他职责。</w:t>
      </w:r>
    </w:p>
    <w:p w14:paraId="61E096F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高等学校应当向社会公开信息公开工作机构的名称、负责人、办公地址、办公时间、联系电话、传真号码、电子邮箱等。</w:t>
      </w:r>
    </w:p>
    <w:p w14:paraId="58BAB5E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对依照本办法规定需要公开的信息，高等学校应当根据实际情况，通过学校网站、校报校刊、校内广播等校内媒体和报刊、杂志、广播、电视等校外媒体以及新闻发布会、年鉴、会议纪要或者简报等方式予以公开；并根据需要设置公共查阅室、资料索取点、信息公告栏或者电子屏幕等场所、设施。</w:t>
      </w:r>
    </w:p>
    <w:p w14:paraId="42FE023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第十三条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高等学校应当在学校网站开设信息公开意见箱，设置信息公开专栏、建立有效链接，及时更新信息，并通过信息公开意见箱听取对学校信息公开工作的意见和建议。</w:t>
      </w:r>
    </w:p>
    <w:p w14:paraId="1BFC310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第十四条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应当编制信息公开指南和目录，并及时公布和更新。信息公开指南应当明确信息公开工作机构，信息的分类、编排体系和获取方式，依申请公开的处理和答复流程等。信息公开目录应当包括信息的索引、名称、生成日期、责任部门等内容。</w:t>
      </w:r>
    </w:p>
    <w:p w14:paraId="5F41E4A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高等学校应当将学校基本的规章制度汇编成册，置于学校有关内部组织机构的办公地点、档案馆、图书馆等场所，提供免费查阅。</w:t>
      </w:r>
    </w:p>
    <w:p w14:paraId="3C328CB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高等学校应当将学生管理制度、教师管理制度分别汇编成册，在新生和新聘教师报到时发放。</w:t>
      </w:r>
    </w:p>
    <w:p w14:paraId="0E6B4A0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完成信息制作或者获取信息后，应当及时明确该信息是否公开。确定公开的，应当明确公开的受众；确定不予公开的，应当说明理由；难以确定是否公开的，应当及时报请高等学校所在地省级教育行政部门或者上级主管部门审定。</w:t>
      </w:r>
    </w:p>
    <w:p w14:paraId="2F5B77E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属于主动公开的信息，高等学校应当自该信息制作完成或者获取之日起20个工作日内予以公开。公开的信息内容发生变更的，应当在变更后20个工作日内予以更新。</w:t>
      </w:r>
    </w:p>
    <w:p w14:paraId="3659CDC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学校决策事项需要征求教师、学生和学校其他工作人员意见的，公开征求意见的期限不得少于10个工作日。</w:t>
      </w:r>
    </w:p>
    <w:p w14:paraId="23746EB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法律法规对信息内容公开的期限另有规定的，从其规定。</w:t>
      </w:r>
    </w:p>
    <w:p w14:paraId="1C25F52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第十八条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对申请人的信息公开申请，高等学校根据下列情况在15个工作日内分别作出答复：</w:t>
      </w:r>
    </w:p>
    <w:p w14:paraId="3DB0289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（一）属于公开范围的，应当告知申请人获取该信息的方式和途径；</w:t>
      </w:r>
    </w:p>
    <w:p w14:paraId="30EF930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（二）属于不予公开范围的，应当告知申请人并说明理由；</w:t>
      </w:r>
    </w:p>
    <w:p w14:paraId="599FC77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（三）不属于本校职责范围的或者该信息不存在的，应当告知申请人，对能够确定该信息的职责单位的，应当告知申请人该单位的名称、联系方式；</w:t>
      </w:r>
    </w:p>
    <w:p w14:paraId="6EA1EEB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（四）申请公开的信息含有不应当公开的内容但能够区分处理的，应当告知申请人并提供可以公开的信息内容，对不予公开的部分，应当说明理由；</w:t>
      </w:r>
    </w:p>
    <w:p w14:paraId="5891B42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（五）申请内容不明确的，应当告知申请人作出更改、补充；申请人逾期未补正的，视为放弃本次申请；</w:t>
      </w:r>
    </w:p>
    <w:p w14:paraId="1108D37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（六）同一申请人无正当理由重复向同一高等学校申请公开同一信息，高等学校已经作出答复且该信息未发生变化的，应当告知申请人，不再重复处理；</w:t>
      </w:r>
    </w:p>
    <w:p w14:paraId="2A17F40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（七）高等学校根据实际情况作出的其他答复。</w:t>
      </w:r>
    </w:p>
    <w:p w14:paraId="74C5F4D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第十九条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申请人向高等学校申请公开信息的，应当出示有效身份证件或者证明文件。</w:t>
      </w:r>
    </w:p>
    <w:p w14:paraId="33FC00C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申请人有证据证明高等学校提供的与自身相关的信息记录不准确的，有权要求该高等学校予以更正；该高等学校无权更正的，应当转送有权更正的单位处理，并告知申请人。</w:t>
      </w:r>
    </w:p>
    <w:p w14:paraId="7E26806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第二十条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高等学校向申请人提供信息，可以按照学校所在地省级价格部门和财政部门规定的收费标准收取检索、复制、邮寄等费用。收取的费用应当纳入学校财务管理。</w:t>
      </w:r>
    </w:p>
    <w:p w14:paraId="4E612B9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高等学校不得通过其他组织、个人以有偿方式提供信息。</w:t>
      </w:r>
    </w:p>
    <w:p w14:paraId="7E5BAB8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第二十一条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高等学校应当健全内部组织机构的信息公开制度，明确其信息公开的具体内容。</w:t>
      </w:r>
    </w:p>
    <w:p w14:paraId="5C5EC37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第四章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监督和保障</w:t>
      </w:r>
    </w:p>
    <w:p w14:paraId="5A9F47B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第二十二条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国务院教育行政部门开展对全国高等学校推进信息公开工作的监督检查。</w:t>
      </w:r>
    </w:p>
    <w:p w14:paraId="536CF8D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lang w:eastAsia="zh-CN"/>
        </w:rPr>
        <w:t xml:space="preserve"> </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省级教育行政部门应当加强对本行政区域内高等学校信息公开工作的日常监督检查。</w:t>
      </w:r>
    </w:p>
    <w:p w14:paraId="7610F6E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lang w:eastAsia="zh-CN"/>
        </w:rPr>
        <w:t xml:space="preserve"> </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高等学校主管部门应当将信息公开工作开展情况纳入高等学校领导干部考核内容。</w:t>
      </w:r>
    </w:p>
    <w:p w14:paraId="109A2DE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第二十三条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省级教育行政部门和高等学校应当将信息公开工作纳入干部岗位责任考核内容。考核工作可与年终考核结合进行。</w:t>
      </w:r>
    </w:p>
    <w:p w14:paraId="1876270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高等学校内设监察部门负责组织对本校信息公开工作的监督检查，监督检查应当有教师、学生和学校其他工作人员代表参加。</w:t>
      </w:r>
    </w:p>
    <w:p w14:paraId="1991BF4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第二十四条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高等学校应当编制学校上一学年信息公开工作年度报告，并于每年10月底前报送所在地省级教育行政部门。中央部门所属高校，还应当报送其上级主管部门。</w:t>
      </w:r>
    </w:p>
    <w:p w14:paraId="416495D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省级教育行政部门应当建立健全高等学校信息公开评议制度，聘请人大代表、政协委员、家长、教师、学生等有关人员成立信息公开评议委员会或者以其他形式，定期对本行政区域内高等学校信息公开工作进行评议，并向社会公布评议结果。</w:t>
      </w:r>
    </w:p>
    <w:p w14:paraId="44035CC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第二十六条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公民、法人和其他组织认为高等学校未按照本办法规定履行信息公开义务的，可以向学校内设监察部门、省级教育行政部门举报；对于中央部委所属高等学校，还可向其上级主管部门举报。收到举报的部门应当及时处理，并以适当方式向举报人告知处理结果。</w:t>
      </w:r>
    </w:p>
    <w:p w14:paraId="39A9308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第二十七条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违反有关法律法规或者本办法规定，有下列情形之一的，由省级教育行政部门责令改正；情节严重的，由省级教育行政部门或者国务院教育行政部门予以通报批评；对高等学校直接负责的主管领导和其他直接责任人员，由高等学校主管部门依据有关规定给予处分：</w:t>
      </w:r>
    </w:p>
    <w:p w14:paraId="26F17A9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（一）不依法履行信息公开义务的；</w:t>
      </w:r>
    </w:p>
    <w:p w14:paraId="149FE54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（二）不及时更新公开的信息内容、信息公开指南和目录的；</w:t>
      </w:r>
    </w:p>
    <w:p w14:paraId="2251627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（三）公开不应当公开的信息的；</w:t>
      </w:r>
    </w:p>
    <w:p w14:paraId="7990C1C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（四）在信息公开工作中隐瞒或者捏造事实的；</w:t>
      </w:r>
    </w:p>
    <w:p w14:paraId="5B8496C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（五）违反规定收取费用的；</w:t>
      </w:r>
    </w:p>
    <w:p w14:paraId="40BB4DA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（六）通过其他组织、个人以有偿服务方式提供信息的；</w:t>
      </w:r>
    </w:p>
    <w:p w14:paraId="2834FED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（七）违反有关法律法规和本办法规定的其他行为的。</w:t>
      </w:r>
    </w:p>
    <w:p w14:paraId="5FBDDB9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高等学校上述行为侵害当事人合法权益，造成损失的，应当依法承担民事责任。</w:t>
      </w:r>
    </w:p>
    <w:p w14:paraId="24BA838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第二十八条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高等学校应当将开展信息公开工作所需经费纳入年度预算，为学校信息公开工作提供经费保障。</w:t>
      </w:r>
    </w:p>
    <w:p w14:paraId="39DE052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第五章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附则</w:t>
      </w:r>
    </w:p>
    <w:p w14:paraId="00336BC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第二十九条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本办法所称的高等学校，是指大学、独立设置的学院和高等专科学校，其中包括高等职业学校和成人高等学校。</w:t>
      </w:r>
    </w:p>
    <w:p w14:paraId="3F3BC31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高等学校以外其他高等教育机构的信息公开，参照本办法执行。</w:t>
      </w:r>
    </w:p>
    <w:p w14:paraId="37D05B6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第三十条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已经移交档案工作机构的高等学校信息的公开，依照有关档案管理的</w:t>
      </w:r>
      <w:r>
        <w:rPr>
          <w:rFonts w:hint="eastAsia" w:ascii="仿宋" w:hAnsi="仿宋" w:eastAsia="仿宋" w:cs="仿宋"/>
          <w:i w:val="0"/>
          <w:iCs w:val="0"/>
          <w:caps w:val="0"/>
          <w:color w:val="auto"/>
          <w:spacing w:val="0"/>
          <w:sz w:val="24"/>
          <w:szCs w:val="24"/>
          <w:lang w:eastAsia="zh-CN"/>
        </w:rPr>
        <w:t>法律法规</w:t>
      </w:r>
      <w:r>
        <w:rPr>
          <w:rFonts w:hint="eastAsia" w:ascii="仿宋" w:hAnsi="仿宋" w:eastAsia="仿宋" w:cs="仿宋"/>
          <w:i w:val="0"/>
          <w:iCs w:val="0"/>
          <w:caps w:val="0"/>
          <w:color w:val="auto"/>
          <w:spacing w:val="0"/>
          <w:sz w:val="24"/>
          <w:szCs w:val="24"/>
        </w:rPr>
        <w:t>和规章执行。</w:t>
      </w:r>
    </w:p>
    <w:p w14:paraId="3654E66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第三十一条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省级教育行政部门可以根据需要制订实施办法。高等学校应当依据本办法制订实施细则。</w:t>
      </w:r>
    </w:p>
    <w:p w14:paraId="6E0EA95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第三十二条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本办法自2010年9月1日起施行。</w:t>
      </w:r>
    </w:p>
    <w:p w14:paraId="1AA99F5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i w:val="0"/>
          <w:iCs w:val="0"/>
          <w:caps w:val="0"/>
          <w:color w:val="auto"/>
          <w:spacing w:val="0"/>
          <w:sz w:val="24"/>
          <w:szCs w:val="24"/>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汉仪中宋简">
    <w:altName w:val="宋体"/>
    <w:panose1 w:val="02010600000101010101"/>
    <w:charset w:val="86"/>
    <w:family w:val="modern"/>
    <w:pitch w:val="default"/>
    <w:sig w:usb0="00000000" w:usb1="00000000" w:usb2="00000002" w:usb3="00000000" w:csb0="00040000" w:csb1="00000000"/>
  </w:font>
  <w:font w:name="思源黑体 CN Normal">
    <w:altName w:val="黑体"/>
    <w:panose1 w:val="020B0400000000000000"/>
    <w:charset w:val="86"/>
    <w:family w:val="swiss"/>
    <w:pitch w:val="default"/>
    <w:sig w:usb0="00000000" w:usb1="00000000" w:usb2="00000016" w:usb3="00000000" w:csb0="00060107"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7577C">
    <w:pPr>
      <w:spacing w:line="173" w:lineRule="auto"/>
      <w:ind w:left="4312"/>
      <w:rPr>
        <w:rFonts w:ascii="宋体" w:hAnsi="宋体" w:eastAsia="宋体" w:cs="宋体"/>
        <w:sz w:val="18"/>
        <w:szCs w:val="18"/>
      </w:rPr>
    </w:pPr>
  </w:p>
  <w:p w14:paraId="06E45A62">
    <w:pPr>
      <w:spacing w:line="173" w:lineRule="auto"/>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20A48">
    <w:pPr>
      <w:spacing w:line="173" w:lineRule="auto"/>
      <w:ind w:left="4312"/>
      <w:rPr>
        <w:rFonts w:ascii="宋体" w:hAnsi="宋体" w:eastAsia="宋体" w:cs="宋体"/>
        <w:sz w:val="18"/>
        <w:szCs w:val="18"/>
      </w:rPr>
    </w:pPr>
  </w:p>
  <w:p w14:paraId="437C1A5C">
    <w:pPr>
      <w:spacing w:line="173" w:lineRule="auto"/>
      <w:rPr>
        <w:rFonts w:ascii="宋体" w:hAnsi="宋体" w:eastAsia="宋体" w:cs="宋体"/>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E115B">
    <w:pPr>
      <w:spacing w:line="173" w:lineRule="auto"/>
      <w:ind w:left="4312"/>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AA18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0AA186">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2D177B6C">
    <w:pPr>
      <w:spacing w:line="173" w:lineRule="auto"/>
      <w:rPr>
        <w:rFonts w:ascii="宋体" w:hAnsi="宋体" w:eastAsia="宋体" w:cs="宋体"/>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570E1"/>
    <w:rsid w:val="1AF570E1"/>
    <w:rsid w:val="39141E91"/>
    <w:rsid w:val="5AE962E5"/>
    <w:rsid w:val="5C1F44EA"/>
    <w:rsid w:val="5FF85EFB"/>
    <w:rsid w:val="6A8F3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500" w:lineRule="exact"/>
      <w:ind w:firstLine="480"/>
    </w:pPr>
    <w:rPr>
      <w:rFonts w:ascii="Times New Roman" w:hAnsi="Times New Roman"/>
      <w:kern w:val="0"/>
      <w:sz w:val="24"/>
      <w:szCs w:val="20"/>
    </w:rPr>
  </w:style>
  <w:style w:type="paragraph" w:styleId="6">
    <w:name w:val="Body Text"/>
    <w:basedOn w:val="1"/>
    <w:qFormat/>
    <w:uiPriority w:val="0"/>
    <w:rPr>
      <w:sz w:val="28"/>
      <w:szCs w:val="32"/>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2061</Words>
  <Characters>2066</Characters>
  <Lines>0</Lines>
  <Paragraphs>0</Paragraphs>
  <TotalTime>19</TotalTime>
  <ScaleCrop>false</ScaleCrop>
  <LinksUpToDate>false</LinksUpToDate>
  <CharactersWithSpaces>2178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2024-12-19T07:51:00Z</dcterms:created>
  <dc:creator>ちいん</dc:creator>
  <cp:lastModifiedBy>ちいん</cp:lastModifiedBy>
  <dcterms:modified xsi:type="dcterms:W3CDTF">2025-01-10T01:38:28Z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A2234408A92843A09670CB88772787AE_11</vt:lpwstr>
  </property>
  <property fmtid="{D5CDD505-2E9C-101B-9397-08002B2CF9AE}" pid="4" name="KSOTemplateDocerSaveRecord">
    <vt:lpwstr>eyJoZGlkIjoiYzY3NTM1MWIxYzQ4NGMxMzc0YWY2ZWNhNjcwYjUxMzQiLCJ1c2VySWQiOiIzMTYyNzEyODIifQ==</vt:lpwstr>
  </property>
</Properties>
</file>