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D95EB">
      <w:pPr>
        <w:jc w:val="both"/>
        <w:outlineLvl w:val="9"/>
        <w:rPr>
          <w:rFonts w:cs="宋体"/>
          <w:b/>
          <w:bCs/>
          <w:color w:val="auto"/>
          <w:sz w:val="72"/>
          <w:szCs w:val="72"/>
        </w:rPr>
      </w:pPr>
      <w:bookmarkStart w:id="0" w:name="_Toc10882"/>
      <w:bookmarkStart w:id="1" w:name="_Toc14798"/>
      <w:bookmarkStart w:id="2" w:name="_Toc22493"/>
      <w:bookmarkStart w:id="3" w:name="_Toc17022"/>
      <w:bookmarkStart w:id="4" w:name="_Toc9262"/>
    </w:p>
    <w:p w14:paraId="635E9105">
      <w:pPr>
        <w:jc w:val="center"/>
        <w:outlineLvl w:val="9"/>
        <w:rPr>
          <w:rFonts w:hint="eastAsia"/>
          <w:b/>
          <w:bCs/>
          <w:color w:val="auto"/>
          <w:sz w:val="56"/>
          <w:szCs w:val="56"/>
          <w:lang w:val="en-US" w:eastAsia="zh-CN"/>
        </w:rPr>
      </w:pPr>
    </w:p>
    <w:p w14:paraId="2B388BC3">
      <w:pPr>
        <w:jc w:val="center"/>
        <w:outlineLvl w:val="9"/>
        <w:rPr>
          <w:rFonts w:hint="eastAsia"/>
          <w:b/>
          <w:bCs/>
          <w:color w:val="auto"/>
          <w:sz w:val="56"/>
          <w:szCs w:val="56"/>
          <w:lang w:val="en-US" w:eastAsia="zh-CN"/>
        </w:rPr>
      </w:pPr>
      <w:r>
        <w:rPr>
          <w:b/>
          <w:color w:val="auto"/>
          <w:sz w:val="96"/>
          <w:szCs w:val="96"/>
        </w:rPr>
        <w:drawing>
          <wp:inline distT="0" distB="0" distL="114300" distR="114300">
            <wp:extent cx="1348740" cy="1645920"/>
            <wp:effectExtent l="0" t="0" r="0" b="11430"/>
            <wp:docPr id="1" name="图片 1" descr="吉林动画学院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吉林动画学院院标"/>
                    <pic:cNvPicPr>
                      <a:picLocks noChangeAspect="1"/>
                    </pic:cNvPicPr>
                  </pic:nvPicPr>
                  <pic:blipFill>
                    <a:blip r:embed="rId7"/>
                    <a:stretch>
                      <a:fillRect/>
                    </a:stretch>
                  </pic:blipFill>
                  <pic:spPr>
                    <a:xfrm>
                      <a:off x="0" y="0"/>
                      <a:ext cx="1348740" cy="1645920"/>
                    </a:xfrm>
                    <a:prstGeom prst="rect">
                      <a:avLst/>
                    </a:prstGeom>
                    <a:noFill/>
                    <a:ln>
                      <a:noFill/>
                    </a:ln>
                  </pic:spPr>
                </pic:pic>
              </a:graphicData>
            </a:graphic>
          </wp:inline>
        </w:drawing>
      </w:r>
    </w:p>
    <w:p w14:paraId="10843EAA">
      <w:pPr>
        <w:jc w:val="center"/>
        <w:outlineLvl w:val="9"/>
        <w:rPr>
          <w:rFonts w:hint="eastAsia"/>
          <w:b/>
          <w:bCs/>
          <w:color w:val="auto"/>
          <w:sz w:val="56"/>
          <w:szCs w:val="56"/>
          <w:lang w:val="en-US" w:eastAsia="zh-CN"/>
        </w:rPr>
      </w:pPr>
    </w:p>
    <w:p w14:paraId="39FD3585">
      <w:pPr>
        <w:jc w:val="center"/>
        <w:outlineLvl w:val="9"/>
        <w:rPr>
          <w:rFonts w:hint="eastAsia"/>
          <w:b/>
          <w:bCs/>
          <w:color w:val="auto"/>
          <w:sz w:val="56"/>
          <w:szCs w:val="56"/>
          <w:lang w:val="en-US" w:eastAsia="zh-CN"/>
        </w:rPr>
      </w:pPr>
      <w:r>
        <w:rPr>
          <w:color w:val="auto"/>
          <w:sz w:val="21"/>
        </w:rPr>
        <mc:AlternateContent>
          <mc:Choice Requires="wps">
            <w:drawing>
              <wp:anchor distT="0" distB="0" distL="114300" distR="114300" simplePos="0" relativeHeight="251659264" behindDoc="0" locked="0" layoutInCell="1" allowOverlap="1">
                <wp:simplePos x="0" y="0"/>
                <wp:positionH relativeFrom="column">
                  <wp:posOffset>-478790</wp:posOffset>
                </wp:positionH>
                <wp:positionV relativeFrom="paragraph">
                  <wp:posOffset>104775</wp:posOffset>
                </wp:positionV>
                <wp:extent cx="6223000" cy="14300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223000" cy="1430020"/>
                        </a:xfrm>
                        <a:prstGeom prst="rect">
                          <a:avLst/>
                        </a:prstGeom>
                        <a:noFill/>
                        <a:ln>
                          <a:noFill/>
                        </a:ln>
                      </wps:spPr>
                      <wps:txbx>
                        <w:txbxContent>
                          <w:p w14:paraId="075A0F18">
                            <w:pPr>
                              <w:snapToGrid w:val="0"/>
                              <w:jc w:val="center"/>
                              <w:rPr>
                                <w:rFonts w:hint="eastAsia" w:ascii="方正小标宋_GBK" w:hAnsi="方正小标宋_GBK" w:eastAsia="方正小标宋_GBK" w:cs="方正小标宋_GBK"/>
                                <w:color w:val="000000"/>
                                <w:kern w:val="24"/>
                                <w:sz w:val="72"/>
                                <w:szCs w:val="72"/>
                                <w:lang w:val="en-US" w:eastAsia="zh-CN"/>
                              </w:rPr>
                            </w:pPr>
                            <w:r>
                              <w:rPr>
                                <w:rFonts w:hint="eastAsia" w:ascii="方正小标宋_GBK" w:hAnsi="方正小标宋_GBK" w:eastAsia="方正小标宋_GBK" w:cs="方正小标宋_GBK"/>
                                <w:color w:val="000000"/>
                                <w:kern w:val="24"/>
                                <w:sz w:val="72"/>
                                <w:szCs w:val="72"/>
                                <w:lang w:val="en-US" w:eastAsia="zh-CN"/>
                              </w:rPr>
                              <w:t>国家教育教学法律法规汇编</w:t>
                            </w:r>
                          </w:p>
                          <w:p w14:paraId="4A5F39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黑体" w:hAnsi="黑体" w:eastAsia="黑体" w:cs="黑体"/>
                                <w:b/>
                                <w:bCs/>
                                <w:i w:val="0"/>
                                <w:iCs w:val="0"/>
                                <w:caps w:val="0"/>
                                <w:color w:val="auto"/>
                                <w:spacing w:val="0"/>
                                <w:sz w:val="36"/>
                                <w:szCs w:val="36"/>
                                <w:shd w:val="clear" w:color="auto" w:fill="FFFFFF"/>
                                <w:lang w:val="en-US" w:eastAsia="zh-CN"/>
                              </w:rPr>
                            </w:pPr>
                            <w:r>
                              <w:rPr>
                                <w:rFonts w:hint="eastAsia" w:ascii="黑体" w:hAnsi="黑体" w:eastAsia="黑体" w:cs="黑体"/>
                                <w:b/>
                                <w:bCs/>
                                <w:i w:val="0"/>
                                <w:iCs w:val="0"/>
                                <w:caps w:val="0"/>
                                <w:color w:val="auto"/>
                                <w:spacing w:val="0"/>
                                <w:sz w:val="36"/>
                                <w:szCs w:val="36"/>
                                <w:shd w:val="clear" w:color="auto" w:fill="FFFFFF"/>
                                <w:lang w:val="en-US" w:eastAsia="zh-CN"/>
                              </w:rPr>
                              <w:t xml:space="preserve">第七编 </w:t>
                            </w:r>
                            <w:r>
                              <w:rPr>
                                <w:rStyle w:val="14"/>
                                <w:rFonts w:hint="eastAsia" w:ascii="黑体" w:hAnsi="黑体" w:eastAsia="黑体" w:cs="黑体"/>
                                <w:b/>
                                <w:bCs/>
                                <w:color w:val="auto"/>
                                <w:sz w:val="36"/>
                                <w:szCs w:val="36"/>
                                <w:shd w:val="clear" w:color="auto" w:fill="FFFFFF"/>
                              </w:rPr>
                              <w:t>院校科研及其经费管理</w:t>
                            </w:r>
                          </w:p>
                          <w:p w14:paraId="521B97C7">
                            <w:pPr>
                              <w:pStyle w:val="2"/>
                              <w:rPr>
                                <w:rFonts w:hint="eastAsia"/>
                                <w:lang w:val="en-US" w:eastAsia="zh-CN"/>
                              </w:rPr>
                            </w:pPr>
                          </w:p>
                        </w:txbxContent>
                      </wps:txbx>
                      <wps:bodyPr lIns="0" tIns="0" rIns="0" bIns="0" upright="1"/>
                    </wps:wsp>
                  </a:graphicData>
                </a:graphic>
              </wp:anchor>
            </w:drawing>
          </mc:Choice>
          <mc:Fallback>
            <w:pict>
              <v:shape id="_x0000_s1026" o:spid="_x0000_s1026" o:spt="202" type="#_x0000_t202" style="position:absolute;left:0pt;margin-left:-37.7pt;margin-top:8.25pt;height:112.6pt;width:490pt;z-index:251659264;mso-width-relative:page;mso-height-relative:page;" filled="f" stroked="f" coordsize="21600,21600" o:gfxdata="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I5uc72gAAAAoBAAAPAAAAAAAAAAEAIAAAACIAAABkcnMvZG93bnJldi54bWxQSwEC&#10;FAAUAAAACACHTuJAlHDowLkBAABzAwAADgAAAAAAAAABACAAAAApAQAAZHJzL2Uyb0RvYy54bWxQ&#10;SwUGAAAAAAYABgBZAQAAVAUAAAAA&#10;">
                <v:fill on="f" focussize="0,0"/>
                <v:stroke on="f"/>
                <v:imagedata o:title=""/>
                <o:lock v:ext="edit" aspectratio="f"/>
                <v:textbox inset="0mm,0mm,0mm,0mm">
                  <w:txbxContent>
                    <w:p w14:paraId="075A0F18">
                      <w:pPr>
                        <w:snapToGrid w:val="0"/>
                        <w:jc w:val="center"/>
                        <w:rPr>
                          <w:rFonts w:hint="eastAsia" w:ascii="方正小标宋_GBK" w:hAnsi="方正小标宋_GBK" w:eastAsia="方正小标宋_GBK" w:cs="方正小标宋_GBK"/>
                          <w:color w:val="000000"/>
                          <w:kern w:val="24"/>
                          <w:sz w:val="72"/>
                          <w:szCs w:val="72"/>
                          <w:lang w:val="en-US" w:eastAsia="zh-CN"/>
                        </w:rPr>
                      </w:pPr>
                      <w:r>
                        <w:rPr>
                          <w:rFonts w:hint="eastAsia" w:ascii="方正小标宋_GBK" w:hAnsi="方正小标宋_GBK" w:eastAsia="方正小标宋_GBK" w:cs="方正小标宋_GBK"/>
                          <w:color w:val="000000"/>
                          <w:kern w:val="24"/>
                          <w:sz w:val="72"/>
                          <w:szCs w:val="72"/>
                          <w:lang w:val="en-US" w:eastAsia="zh-CN"/>
                        </w:rPr>
                        <w:t>国家教育教学法律法规汇编</w:t>
                      </w:r>
                    </w:p>
                    <w:p w14:paraId="4A5F39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黑体" w:hAnsi="黑体" w:eastAsia="黑体" w:cs="黑体"/>
                          <w:b/>
                          <w:bCs/>
                          <w:i w:val="0"/>
                          <w:iCs w:val="0"/>
                          <w:caps w:val="0"/>
                          <w:color w:val="auto"/>
                          <w:spacing w:val="0"/>
                          <w:sz w:val="36"/>
                          <w:szCs w:val="36"/>
                          <w:shd w:val="clear" w:color="auto" w:fill="FFFFFF"/>
                          <w:lang w:val="en-US" w:eastAsia="zh-CN"/>
                        </w:rPr>
                      </w:pPr>
                      <w:r>
                        <w:rPr>
                          <w:rFonts w:hint="eastAsia" w:ascii="黑体" w:hAnsi="黑体" w:eastAsia="黑体" w:cs="黑体"/>
                          <w:b/>
                          <w:bCs/>
                          <w:i w:val="0"/>
                          <w:iCs w:val="0"/>
                          <w:caps w:val="0"/>
                          <w:color w:val="auto"/>
                          <w:spacing w:val="0"/>
                          <w:sz w:val="36"/>
                          <w:szCs w:val="36"/>
                          <w:shd w:val="clear" w:color="auto" w:fill="FFFFFF"/>
                          <w:lang w:val="en-US" w:eastAsia="zh-CN"/>
                        </w:rPr>
                        <w:t xml:space="preserve">第七编 </w:t>
                      </w:r>
                      <w:r>
                        <w:rPr>
                          <w:rStyle w:val="14"/>
                          <w:rFonts w:hint="eastAsia" w:ascii="黑体" w:hAnsi="黑体" w:eastAsia="黑体" w:cs="黑体"/>
                          <w:b/>
                          <w:bCs/>
                          <w:color w:val="auto"/>
                          <w:sz w:val="36"/>
                          <w:szCs w:val="36"/>
                          <w:shd w:val="clear" w:color="auto" w:fill="FFFFFF"/>
                        </w:rPr>
                        <w:t>院校科研及其经费管理</w:t>
                      </w:r>
                    </w:p>
                    <w:p w14:paraId="521B97C7">
                      <w:pPr>
                        <w:pStyle w:val="2"/>
                        <w:rPr>
                          <w:rFonts w:hint="eastAsia"/>
                          <w:lang w:val="en-US" w:eastAsia="zh-CN"/>
                        </w:rPr>
                      </w:pPr>
                    </w:p>
                  </w:txbxContent>
                </v:textbox>
              </v:shape>
            </w:pict>
          </mc:Fallback>
        </mc:AlternateContent>
      </w:r>
    </w:p>
    <w:p w14:paraId="63C0117C">
      <w:pPr>
        <w:jc w:val="center"/>
        <w:outlineLvl w:val="9"/>
        <w:rPr>
          <w:rFonts w:hint="eastAsia"/>
          <w:b/>
          <w:bCs/>
          <w:color w:val="auto"/>
          <w:sz w:val="56"/>
          <w:szCs w:val="56"/>
          <w:lang w:val="en-US" w:eastAsia="zh-CN"/>
        </w:rPr>
      </w:pPr>
    </w:p>
    <w:p w14:paraId="176168BE">
      <w:pPr>
        <w:jc w:val="both"/>
        <w:outlineLvl w:val="9"/>
        <w:rPr>
          <w:rFonts w:hint="eastAsia" w:ascii="宋体" w:hAnsi="宋体" w:eastAsia="宋体" w:cs="宋体"/>
          <w:b/>
          <w:bCs/>
          <w:color w:val="auto"/>
          <w:sz w:val="48"/>
          <w:szCs w:val="48"/>
          <w:lang w:val="en-US" w:eastAsia="zh-CN"/>
        </w:rPr>
      </w:pPr>
    </w:p>
    <w:p w14:paraId="054CEB4C">
      <w:pPr>
        <w:tabs>
          <w:tab w:val="left" w:pos="2726"/>
        </w:tabs>
        <w:jc w:val="both"/>
        <w:rPr>
          <w:rFonts w:hint="eastAsia" w:ascii="宋体" w:hAnsi="宋体" w:eastAsia="宋体" w:cs="宋体"/>
          <w:b/>
          <w:bCs/>
          <w:color w:val="auto"/>
          <w:sz w:val="36"/>
          <w:szCs w:val="36"/>
          <w:lang w:val="en-US" w:eastAsia="zh-CN"/>
        </w:rPr>
      </w:pPr>
    </w:p>
    <w:p w14:paraId="45789293">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55CB89B7">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31F08C82">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5487E56D">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652BE696">
      <w:pPr>
        <w:tabs>
          <w:tab w:val="left" w:pos="2726"/>
        </w:tabs>
        <w:jc w:val="center"/>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吉林动画学院校务部</w:t>
      </w:r>
    </w:p>
    <w:p w14:paraId="34B7106B">
      <w:pPr>
        <w:tabs>
          <w:tab w:val="left" w:pos="2726"/>
        </w:tabs>
        <w:jc w:val="center"/>
        <w:rPr>
          <w:rFonts w:hint="eastAsia" w:ascii="楷体" w:hAnsi="楷体" w:eastAsia="楷体" w:cs="楷体"/>
          <w:b/>
          <w:bCs/>
          <w:color w:val="auto"/>
          <w:sz w:val="56"/>
          <w:szCs w:val="56"/>
          <w:lang w:val="en-US" w:eastAsia="zh-CN"/>
        </w:rPr>
        <w:sectPr>
          <w:footerReference r:id="rId3" w:type="default"/>
          <w:pgSz w:w="11905" w:h="16838"/>
          <w:pgMar w:top="1417" w:right="1417" w:bottom="1417" w:left="1701" w:header="850" w:footer="992" w:gutter="0"/>
          <w:pgNumType w:fmt="decimal"/>
          <w:cols w:space="720" w:num="1"/>
          <w:rtlGutter w:val="0"/>
          <w:docGrid w:type="lines" w:linePitch="318" w:charSpace="0"/>
        </w:sectPr>
      </w:pPr>
      <w:r>
        <w:rPr>
          <w:rFonts w:hint="eastAsia" w:ascii="方正仿宋简体" w:hAnsi="方正仿宋简体" w:eastAsia="方正仿宋简体" w:cs="方正仿宋简体"/>
          <w:b/>
          <w:bCs/>
          <w:color w:val="auto"/>
          <w:sz w:val="32"/>
          <w:szCs w:val="32"/>
          <w:lang w:val="en-US" w:eastAsia="zh-CN"/>
        </w:rPr>
        <w:t>（2024年编</w:t>
      </w:r>
      <w:r>
        <w:rPr>
          <w:color w:val="auto"/>
        </w:rPr>
        <mc:AlternateContent>
          <mc:Choice Requires="wps">
            <w:drawing>
              <wp:anchor distT="0" distB="0" distL="114300" distR="114300" simplePos="0" relativeHeight="251660288" behindDoc="0" locked="0" layoutInCell="1" allowOverlap="1">
                <wp:simplePos x="0" y="0"/>
                <wp:positionH relativeFrom="margin">
                  <wp:posOffset>405130</wp:posOffset>
                </wp:positionH>
                <wp:positionV relativeFrom="paragraph">
                  <wp:posOffset>8450580</wp:posOffset>
                </wp:positionV>
                <wp:extent cx="4768850" cy="594360"/>
                <wp:effectExtent l="0" t="0" r="0" b="0"/>
                <wp:wrapNone/>
                <wp:docPr id="8" name="文本框 8"/>
                <wp:cNvGraphicFramePr/>
                <a:graphic xmlns:a="http://schemas.openxmlformats.org/drawingml/2006/main">
                  <a:graphicData uri="http://schemas.microsoft.com/office/word/2010/wordprocessingShape">
                    <wps:wsp>
                      <wps:cNvSpPr txBox="1"/>
                      <wps:spPr>
                        <a:xfrm>
                          <a:off x="1395730" y="9364980"/>
                          <a:ext cx="4768850" cy="594360"/>
                        </a:xfrm>
                        <a:prstGeom prst="rect">
                          <a:avLst/>
                        </a:prstGeom>
                        <a:noFill/>
                        <a:ln>
                          <a:noFill/>
                        </a:ln>
                        <a:effectLst/>
                      </wps:spPr>
                      <wps:txbx>
                        <w:txbxContent>
                          <w:p w14:paraId="43F862AE">
                            <w:pPr>
                              <w:jc w:val="center"/>
                              <w:rPr>
                                <w:rFonts w:hint="eastAsia" w:ascii="汉仪中宋简" w:hAnsi="思源黑体 CN Normal" w:eastAsia="汉仪中宋简"/>
                                <w:color w:val="000000"/>
                                <w:kern w:val="0"/>
                                <w:sz w:val="16"/>
                                <w:szCs w:val="16"/>
                                <w:lang w:eastAsia="zh-CN"/>
                              </w:rPr>
                            </w:pPr>
                            <w:r>
                              <w:rPr>
                                <w:rFonts w:hint="eastAsia" w:ascii="汉仪中宋简" w:hAnsi="思源黑体 CN Normal" w:eastAsia="汉仪中宋简"/>
                                <w:color w:val="000000"/>
                                <w:kern w:val="24"/>
                                <w:sz w:val="28"/>
                                <w:szCs w:val="28"/>
                                <w:lang w:eastAsia="zh-CN"/>
                              </w:rPr>
                              <w:t>校务部</w:t>
                            </w:r>
                          </w:p>
                        </w:txbxContent>
                      </wps:txbx>
                      <wps:bodyPr wrap="square" lIns="0" tIns="0" rIns="0" bIns="0" rtlCol="0">
                        <a:spAutoFit/>
                      </wps:bodyPr>
                    </wps:wsp>
                  </a:graphicData>
                </a:graphic>
              </wp:anchor>
            </w:drawing>
          </mc:Choice>
          <mc:Fallback>
            <w:pict>
              <v:shape id="_x0000_s1026" o:spid="_x0000_s1026" o:spt="202" type="#_x0000_t202" style="position:absolute;left:0pt;margin-left:31.9pt;margin-top:665.4pt;height:46.8pt;width:375.5pt;mso-position-horizontal-relative:margin;z-index:251660288;mso-width-relative:page;mso-height-relative:page;" filled="f" stroked="f" coordsize="21600,21600" o:gfxdata="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dAwmdcAAAAMAQAA&#10;DwAAAAAAAAABACAAAAAiAAAAZHJzL2Rvd25yZXYueG1sUEsBAhQAFAAAAAgAh07iQDVqD6bhAQAA&#10;swMAAA4AAAAAAAAAAQAgAAAAJgEAAGRycy9lMm9Eb2MueG1sUEsFBgAAAAAGAAYAWQEAAHkFAAAA&#10;AA==&#10;">
                <v:fill on="f" focussize="0,0"/>
                <v:stroke on="f"/>
                <v:imagedata o:title=""/>
                <o:lock v:ext="edit" aspectratio="f"/>
                <v:textbox inset="0mm,0mm,0mm,0mm" style="mso-fit-shape-to-text:t;">
                  <w:txbxContent>
                    <w:p w14:paraId="43F862AE">
                      <w:pPr>
                        <w:jc w:val="center"/>
                        <w:rPr>
                          <w:rFonts w:hint="eastAsia" w:ascii="汉仪中宋简" w:hAnsi="思源黑体 CN Normal" w:eastAsia="汉仪中宋简"/>
                          <w:color w:val="000000"/>
                          <w:kern w:val="0"/>
                          <w:sz w:val="16"/>
                          <w:szCs w:val="16"/>
                          <w:lang w:eastAsia="zh-CN"/>
                        </w:rPr>
                      </w:pPr>
                      <w:r>
                        <w:rPr>
                          <w:rFonts w:hint="eastAsia" w:ascii="汉仪中宋简" w:hAnsi="思源黑体 CN Normal" w:eastAsia="汉仪中宋简"/>
                          <w:color w:val="000000"/>
                          <w:kern w:val="24"/>
                          <w:sz w:val="28"/>
                          <w:szCs w:val="28"/>
                          <w:lang w:eastAsia="zh-CN"/>
                        </w:rPr>
                        <w:t>校务部</w:t>
                      </w:r>
                    </w:p>
                  </w:txbxContent>
                </v:textbox>
              </v:shape>
            </w:pict>
          </mc:Fallback>
        </mc:AlternateContent>
      </w:r>
      <w:r>
        <w:rPr>
          <w:rFonts w:hint="eastAsia" w:ascii="方正仿宋简体" w:hAnsi="方正仿宋简体" w:eastAsia="方正仿宋简体" w:cs="方正仿宋简体"/>
          <w:b/>
          <w:bCs/>
          <w:color w:val="auto"/>
          <w:sz w:val="32"/>
          <w:szCs w:val="32"/>
          <w:lang w:val="en-US" w:eastAsia="zh-CN"/>
        </w:rPr>
        <w:t>）</w:t>
      </w:r>
    </w:p>
    <w:p w14:paraId="64EEF2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0"/>
        <w:rPr>
          <w:rFonts w:hint="eastAsia" w:ascii="黑体" w:hAnsi="黑体" w:eastAsia="黑体" w:cs="黑体"/>
          <w:i w:val="0"/>
          <w:iCs w:val="0"/>
          <w:caps w:val="0"/>
          <w:color w:val="auto"/>
          <w:spacing w:val="0"/>
          <w:sz w:val="36"/>
          <w:szCs w:val="36"/>
          <w:lang w:val="en-US" w:eastAsia="zh-CN"/>
        </w:rPr>
      </w:pPr>
      <w:r>
        <w:rPr>
          <w:rFonts w:hint="eastAsia" w:ascii="黑体" w:hAnsi="黑体" w:eastAsia="黑体" w:cs="黑体"/>
          <w:i w:val="0"/>
          <w:iCs w:val="0"/>
          <w:caps w:val="0"/>
          <w:color w:val="auto"/>
          <w:spacing w:val="0"/>
          <w:sz w:val="36"/>
          <w:szCs w:val="36"/>
          <w:lang w:val="en-US" w:eastAsia="zh-CN"/>
        </w:rPr>
        <w:t>目  录</w:t>
      </w:r>
      <w:bookmarkEnd w:id="0"/>
      <w:bookmarkEnd w:id="1"/>
      <w:bookmarkEnd w:id="2"/>
    </w:p>
    <w:p w14:paraId="7E856FFF">
      <w:pPr>
        <w:pStyle w:val="10"/>
        <w:tabs>
          <w:tab w:val="right" w:leader="dot" w:pos="8306"/>
        </w:tabs>
        <w:rPr>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p>
    <w:p w14:paraId="10FADF15">
      <w:pPr>
        <w:pStyle w:val="9"/>
        <w:tabs>
          <w:tab w:val="right" w:leader="dot" w:pos="8306"/>
        </w:tabs>
        <w:rPr>
          <w:highlight w:val="none"/>
        </w:rPr>
      </w:pPr>
      <w:r>
        <w:rPr>
          <w:color w:val="auto"/>
          <w:highlight w:val="none"/>
        </w:rPr>
        <w:fldChar w:fldCharType="begin"/>
      </w:r>
      <w:r>
        <w:rPr>
          <w:highlight w:val="none"/>
        </w:rPr>
        <w:instrText xml:space="preserve"> HYPERLINK \l _Toc17022 </w:instrText>
      </w:r>
      <w:r>
        <w:rPr>
          <w:highlight w:val="none"/>
        </w:rPr>
        <w:fldChar w:fldCharType="separate"/>
      </w:r>
      <w:r>
        <w:rPr>
          <w:rFonts w:hint="eastAsia" w:ascii="黑体" w:hAnsi="黑体" w:eastAsia="黑体" w:cs="黑体"/>
          <w:bCs/>
          <w:i w:val="0"/>
          <w:iCs w:val="0"/>
          <w:caps w:val="0"/>
          <w:spacing w:val="0"/>
          <w:szCs w:val="36"/>
          <w:highlight w:val="none"/>
          <w:shd w:val="clear" w:color="auto" w:fill="FFFFFF"/>
          <w:lang w:val="en-US" w:eastAsia="zh-CN"/>
        </w:rPr>
        <w:t xml:space="preserve">第七编 </w:t>
      </w:r>
      <w:r>
        <w:rPr>
          <w:rFonts w:hint="eastAsia" w:ascii="黑体" w:hAnsi="黑体" w:eastAsia="黑体" w:cs="黑体"/>
          <w:bCs/>
          <w:szCs w:val="36"/>
          <w:highlight w:val="none"/>
          <w:shd w:val="clear" w:color="auto" w:fill="FFFFFF"/>
        </w:rPr>
        <w:t>院校科研及其经费管理</w:t>
      </w:r>
      <w:r>
        <w:rPr>
          <w:highlight w:val="none"/>
        </w:rPr>
        <w:tab/>
      </w:r>
      <w:r>
        <w:rPr>
          <w:highlight w:val="none"/>
        </w:rPr>
        <w:fldChar w:fldCharType="begin"/>
      </w:r>
      <w:r>
        <w:rPr>
          <w:highlight w:val="none"/>
        </w:rPr>
        <w:instrText xml:space="preserve"> PAGEREF _Toc17022 \h </w:instrText>
      </w:r>
      <w:r>
        <w:rPr>
          <w:highlight w:val="none"/>
        </w:rPr>
        <w:fldChar w:fldCharType="separate"/>
      </w:r>
      <w:r>
        <w:rPr>
          <w:highlight w:val="none"/>
        </w:rPr>
        <w:t>1</w:t>
      </w:r>
      <w:r>
        <w:rPr>
          <w:highlight w:val="none"/>
        </w:rPr>
        <w:fldChar w:fldCharType="end"/>
      </w:r>
      <w:r>
        <w:rPr>
          <w:color w:val="auto"/>
          <w:highlight w:val="none"/>
        </w:rPr>
        <w:fldChar w:fldCharType="end"/>
      </w:r>
    </w:p>
    <w:p w14:paraId="763F2256">
      <w:pPr>
        <w:pStyle w:val="10"/>
        <w:tabs>
          <w:tab w:val="right" w:leader="dot" w:pos="8306"/>
        </w:tabs>
        <w:rPr>
          <w:highlight w:val="none"/>
        </w:rPr>
      </w:pPr>
      <w:r>
        <w:rPr>
          <w:rFonts w:hint="eastAsia"/>
          <w:color w:val="auto"/>
          <w:highlight w:val="none"/>
          <w:lang w:val="en-US" w:eastAsia="zh-CN"/>
        </w:rPr>
        <w:t>7.1</w:t>
      </w:r>
      <w:r>
        <w:rPr>
          <w:color w:val="auto"/>
          <w:highlight w:val="none"/>
        </w:rPr>
        <w:fldChar w:fldCharType="begin"/>
      </w:r>
      <w:r>
        <w:rPr>
          <w:highlight w:val="none"/>
        </w:rPr>
        <w:instrText xml:space="preserve"> HYPERLINK \l _Toc21088 </w:instrText>
      </w:r>
      <w:r>
        <w:rPr>
          <w:highlight w:val="none"/>
        </w:rPr>
        <w:fldChar w:fldCharType="separate"/>
      </w:r>
      <w:r>
        <w:rPr>
          <w:rFonts w:hint="eastAsia" w:ascii="宋体" w:hAnsi="宋体" w:eastAsia="宋体" w:cs="宋体"/>
          <w:i w:val="0"/>
          <w:iCs w:val="0"/>
          <w:caps w:val="0"/>
          <w:spacing w:val="0"/>
          <w:szCs w:val="36"/>
          <w:highlight w:val="none"/>
          <w:shd w:val="clear" w:color="auto" w:fill="FFFFFF"/>
        </w:rPr>
        <w:t>高等学校知识产权保护管理规定</w:t>
      </w:r>
      <w:r>
        <w:rPr>
          <w:highlight w:val="none"/>
        </w:rPr>
        <w:tab/>
      </w:r>
      <w:r>
        <w:rPr>
          <w:highlight w:val="none"/>
        </w:rPr>
        <w:fldChar w:fldCharType="begin"/>
      </w:r>
      <w:r>
        <w:rPr>
          <w:highlight w:val="none"/>
        </w:rPr>
        <w:instrText xml:space="preserve"> PAGEREF _Toc21088 \h </w:instrText>
      </w:r>
      <w:r>
        <w:rPr>
          <w:highlight w:val="none"/>
        </w:rPr>
        <w:fldChar w:fldCharType="separate"/>
      </w:r>
      <w:r>
        <w:rPr>
          <w:highlight w:val="none"/>
        </w:rPr>
        <w:t>1</w:t>
      </w:r>
      <w:r>
        <w:rPr>
          <w:highlight w:val="none"/>
        </w:rPr>
        <w:fldChar w:fldCharType="end"/>
      </w:r>
      <w:r>
        <w:rPr>
          <w:color w:val="auto"/>
          <w:highlight w:val="none"/>
        </w:rPr>
        <w:fldChar w:fldCharType="end"/>
      </w:r>
    </w:p>
    <w:p w14:paraId="3DCEE6E4">
      <w:pPr>
        <w:pStyle w:val="10"/>
        <w:tabs>
          <w:tab w:val="right" w:leader="dot" w:pos="8306"/>
        </w:tabs>
        <w:rPr>
          <w:highlight w:val="none"/>
        </w:rPr>
      </w:pPr>
      <w:r>
        <w:rPr>
          <w:rFonts w:hint="eastAsia"/>
          <w:color w:val="auto"/>
          <w:highlight w:val="none"/>
          <w:lang w:val="en-US" w:eastAsia="zh-CN"/>
        </w:rPr>
        <w:t>7.2</w:t>
      </w:r>
      <w:r>
        <w:rPr>
          <w:color w:val="auto"/>
          <w:highlight w:val="none"/>
        </w:rPr>
        <w:fldChar w:fldCharType="begin"/>
      </w:r>
      <w:r>
        <w:rPr>
          <w:highlight w:val="none"/>
        </w:rPr>
        <w:instrText xml:space="preserve"> HYPERLINK \l _Toc29567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关于进一步加强科研诚信建设的若干意见</w:t>
      </w:r>
      <w:r>
        <w:rPr>
          <w:highlight w:val="none"/>
        </w:rPr>
        <w:tab/>
      </w:r>
      <w:r>
        <w:rPr>
          <w:highlight w:val="none"/>
        </w:rPr>
        <w:fldChar w:fldCharType="begin"/>
      </w:r>
      <w:r>
        <w:rPr>
          <w:highlight w:val="none"/>
        </w:rPr>
        <w:instrText xml:space="preserve"> PAGEREF _Toc29567 \h </w:instrText>
      </w:r>
      <w:r>
        <w:rPr>
          <w:highlight w:val="none"/>
        </w:rPr>
        <w:fldChar w:fldCharType="separate"/>
      </w:r>
      <w:r>
        <w:rPr>
          <w:highlight w:val="none"/>
        </w:rPr>
        <w:t>5</w:t>
      </w:r>
      <w:r>
        <w:rPr>
          <w:highlight w:val="none"/>
        </w:rPr>
        <w:fldChar w:fldCharType="end"/>
      </w:r>
      <w:r>
        <w:rPr>
          <w:color w:val="auto"/>
          <w:highlight w:val="none"/>
        </w:rPr>
        <w:fldChar w:fldCharType="end"/>
      </w:r>
    </w:p>
    <w:p w14:paraId="71FCC6EF">
      <w:pPr>
        <w:pStyle w:val="10"/>
        <w:tabs>
          <w:tab w:val="right" w:leader="dot" w:pos="8306"/>
        </w:tabs>
        <w:rPr>
          <w:highlight w:val="none"/>
        </w:rPr>
      </w:pPr>
      <w:r>
        <w:rPr>
          <w:rFonts w:hint="eastAsia"/>
          <w:color w:val="auto"/>
          <w:highlight w:val="none"/>
          <w:lang w:val="en-US" w:eastAsia="zh-CN"/>
        </w:rPr>
        <w:t>7.3</w:t>
      </w:r>
      <w:r>
        <w:rPr>
          <w:color w:val="auto"/>
          <w:highlight w:val="none"/>
        </w:rPr>
        <w:fldChar w:fldCharType="begin"/>
      </w:r>
      <w:r>
        <w:rPr>
          <w:highlight w:val="none"/>
        </w:rPr>
        <w:instrText xml:space="preserve"> HYPERLINK \l _Toc9089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国务院办公厅关于改革完善中央财政科研经费管理的若干意见</w:t>
      </w:r>
      <w:r>
        <w:rPr>
          <w:highlight w:val="none"/>
        </w:rPr>
        <w:tab/>
      </w:r>
      <w:r>
        <w:rPr>
          <w:highlight w:val="none"/>
        </w:rPr>
        <w:fldChar w:fldCharType="begin"/>
      </w:r>
      <w:r>
        <w:rPr>
          <w:highlight w:val="none"/>
        </w:rPr>
        <w:instrText xml:space="preserve"> PAGEREF _Toc9089 \h </w:instrText>
      </w:r>
      <w:r>
        <w:rPr>
          <w:highlight w:val="none"/>
        </w:rPr>
        <w:fldChar w:fldCharType="separate"/>
      </w:r>
      <w:r>
        <w:rPr>
          <w:highlight w:val="none"/>
        </w:rPr>
        <w:t>11</w:t>
      </w:r>
      <w:r>
        <w:rPr>
          <w:highlight w:val="none"/>
        </w:rPr>
        <w:fldChar w:fldCharType="end"/>
      </w:r>
      <w:r>
        <w:rPr>
          <w:color w:val="auto"/>
          <w:highlight w:val="none"/>
        </w:rPr>
        <w:fldChar w:fldCharType="end"/>
      </w:r>
    </w:p>
    <w:p w14:paraId="51B70A8D">
      <w:pPr>
        <w:pStyle w:val="10"/>
        <w:tabs>
          <w:tab w:val="right" w:leader="dot" w:pos="8306"/>
        </w:tabs>
        <w:rPr>
          <w:highlight w:val="none"/>
        </w:rPr>
      </w:pPr>
      <w:r>
        <w:rPr>
          <w:rFonts w:hint="eastAsia"/>
          <w:color w:val="auto"/>
          <w:highlight w:val="none"/>
          <w:lang w:val="en-US" w:eastAsia="zh-CN"/>
        </w:rPr>
        <w:t>7.4</w:t>
      </w:r>
      <w:r>
        <w:rPr>
          <w:color w:val="auto"/>
          <w:highlight w:val="none"/>
        </w:rPr>
        <w:fldChar w:fldCharType="begin"/>
      </w:r>
      <w:r>
        <w:rPr>
          <w:highlight w:val="none"/>
        </w:rPr>
        <w:instrText xml:space="preserve"> HYPERLINK \l _Toc2126 </w:instrText>
      </w:r>
      <w:r>
        <w:rPr>
          <w:highlight w:val="none"/>
        </w:rPr>
        <w:fldChar w:fldCharType="separate"/>
      </w:r>
      <w:r>
        <w:rPr>
          <w:rFonts w:hint="eastAsia" w:ascii="宋体" w:hAnsi="宋体" w:eastAsia="宋体" w:cs="宋体"/>
          <w:szCs w:val="36"/>
          <w:highlight w:val="none"/>
        </w:rPr>
        <w:t>高等学校科学研究优秀成果奖（科学技术</w:t>
      </w:r>
      <w:r>
        <w:rPr>
          <w:rFonts w:hint="eastAsia" w:ascii="宋体" w:hAnsi="宋体" w:cs="宋体"/>
          <w:szCs w:val="36"/>
          <w:highlight w:val="none"/>
          <w:lang w:eastAsia="zh-CN"/>
        </w:rPr>
        <w:t>）</w:t>
      </w:r>
      <w:r>
        <w:rPr>
          <w:rFonts w:hint="eastAsia" w:ascii="宋体" w:hAnsi="宋体" w:eastAsia="宋体" w:cs="宋体"/>
          <w:szCs w:val="36"/>
          <w:highlight w:val="none"/>
        </w:rPr>
        <w:t>奖</w:t>
      </w:r>
      <w:r>
        <w:rPr>
          <w:rFonts w:hint="eastAsia" w:ascii="宋体" w:hAnsi="宋体" w:eastAsia="宋体" w:cs="宋体"/>
          <w:bCs/>
          <w:szCs w:val="36"/>
          <w:highlight w:val="none"/>
        </w:rPr>
        <w:t>励办法</w:t>
      </w:r>
      <w:r>
        <w:rPr>
          <w:highlight w:val="none"/>
        </w:rPr>
        <w:tab/>
      </w:r>
      <w:r>
        <w:rPr>
          <w:highlight w:val="none"/>
        </w:rPr>
        <w:fldChar w:fldCharType="begin"/>
      </w:r>
      <w:r>
        <w:rPr>
          <w:highlight w:val="none"/>
        </w:rPr>
        <w:instrText xml:space="preserve"> PAGEREF _Toc2126 \h </w:instrText>
      </w:r>
      <w:r>
        <w:rPr>
          <w:highlight w:val="none"/>
        </w:rPr>
        <w:fldChar w:fldCharType="separate"/>
      </w:r>
      <w:r>
        <w:rPr>
          <w:highlight w:val="none"/>
        </w:rPr>
        <w:t>16</w:t>
      </w:r>
      <w:r>
        <w:rPr>
          <w:highlight w:val="none"/>
        </w:rPr>
        <w:fldChar w:fldCharType="end"/>
      </w:r>
      <w:r>
        <w:rPr>
          <w:color w:val="auto"/>
          <w:highlight w:val="none"/>
        </w:rPr>
        <w:fldChar w:fldCharType="end"/>
      </w:r>
    </w:p>
    <w:p w14:paraId="7FD03ECE">
      <w:pPr>
        <w:pStyle w:val="10"/>
        <w:tabs>
          <w:tab w:val="right" w:leader="dot" w:pos="8306"/>
        </w:tabs>
        <w:rPr>
          <w:highlight w:val="none"/>
        </w:rPr>
      </w:pPr>
      <w:r>
        <w:rPr>
          <w:rFonts w:hint="eastAsia"/>
          <w:color w:val="auto"/>
          <w:highlight w:val="none"/>
          <w:lang w:val="en-US" w:eastAsia="zh-CN"/>
        </w:rPr>
        <w:t>7.5</w:t>
      </w:r>
      <w:r>
        <w:rPr>
          <w:color w:val="auto"/>
          <w:highlight w:val="none"/>
        </w:rPr>
        <w:fldChar w:fldCharType="begin"/>
      </w:r>
      <w:r>
        <w:rPr>
          <w:highlight w:val="none"/>
        </w:rPr>
        <w:instrText xml:space="preserve"> HYPERLINK \l _Toc11934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关于规范高等学校SCI论文相关指标使用</w:t>
      </w:r>
      <w:r>
        <w:rPr>
          <w:rFonts w:hint="eastAsia" w:ascii="宋体" w:hAnsi="宋体" w:cs="宋体"/>
          <w:bCs/>
          <w:i w:val="0"/>
          <w:iCs w:val="0"/>
          <w:caps w:val="0"/>
          <w:spacing w:val="0"/>
          <w:szCs w:val="36"/>
          <w:highlight w:val="none"/>
          <w:shd w:val="clear" w:color="auto" w:fill="FFFFFF"/>
          <w:lang w:val="en-US" w:eastAsia="zh-CN"/>
        </w:rPr>
        <w:t xml:space="preserve"> </w:t>
      </w:r>
      <w:r>
        <w:rPr>
          <w:rFonts w:hint="eastAsia" w:ascii="宋体" w:hAnsi="宋体" w:eastAsia="宋体" w:cs="宋体"/>
          <w:bCs/>
          <w:i w:val="0"/>
          <w:iCs w:val="0"/>
          <w:caps w:val="0"/>
          <w:spacing w:val="0"/>
          <w:szCs w:val="36"/>
          <w:highlight w:val="none"/>
          <w:shd w:val="clear" w:color="auto" w:fill="FFFFFF"/>
        </w:rPr>
        <w:t>树立正确评价导向的若干意见</w:t>
      </w:r>
      <w:r>
        <w:rPr>
          <w:highlight w:val="none"/>
        </w:rPr>
        <w:tab/>
      </w:r>
      <w:r>
        <w:rPr>
          <w:highlight w:val="none"/>
        </w:rPr>
        <w:fldChar w:fldCharType="begin"/>
      </w:r>
      <w:r>
        <w:rPr>
          <w:highlight w:val="none"/>
        </w:rPr>
        <w:instrText xml:space="preserve"> PAGEREF _Toc11934 \h </w:instrText>
      </w:r>
      <w:r>
        <w:rPr>
          <w:highlight w:val="none"/>
        </w:rPr>
        <w:fldChar w:fldCharType="separate"/>
      </w:r>
      <w:r>
        <w:rPr>
          <w:highlight w:val="none"/>
        </w:rPr>
        <w:t>22</w:t>
      </w:r>
      <w:r>
        <w:rPr>
          <w:highlight w:val="none"/>
        </w:rPr>
        <w:fldChar w:fldCharType="end"/>
      </w:r>
      <w:r>
        <w:rPr>
          <w:color w:val="auto"/>
          <w:highlight w:val="none"/>
        </w:rPr>
        <w:fldChar w:fldCharType="end"/>
      </w:r>
    </w:p>
    <w:p w14:paraId="5B882954">
      <w:pPr>
        <w:pStyle w:val="10"/>
        <w:tabs>
          <w:tab w:val="right" w:leader="dot" w:pos="8306"/>
        </w:tabs>
        <w:rPr>
          <w:highlight w:val="none"/>
        </w:rPr>
      </w:pPr>
    </w:p>
    <w:p w14:paraId="207B2907">
      <w:pPr>
        <w:pStyle w:val="10"/>
        <w:tabs>
          <w:tab w:val="right" w:leader="dot" w:pos="8306"/>
        </w:tabs>
        <w:rPr>
          <w:highlight w:val="none"/>
        </w:rPr>
      </w:pPr>
    </w:p>
    <w:p w14:paraId="177E2396">
      <w:pPr>
        <w:rPr>
          <w:color w:val="auto"/>
          <w:highlight w:val="none"/>
        </w:rPr>
      </w:pPr>
      <w:r>
        <w:rPr>
          <w:color w:val="auto"/>
          <w:highlight w:val="none"/>
        </w:rPr>
        <w:fldChar w:fldCharType="end"/>
      </w:r>
    </w:p>
    <w:p w14:paraId="7181AA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黑体" w:hAnsi="黑体" w:eastAsia="黑体" w:cs="黑体"/>
          <w:b/>
          <w:bCs/>
          <w:i w:val="0"/>
          <w:iCs w:val="0"/>
          <w:caps w:val="0"/>
          <w:color w:val="auto"/>
          <w:spacing w:val="0"/>
          <w:sz w:val="36"/>
          <w:szCs w:val="36"/>
          <w:shd w:val="clear" w:color="auto" w:fill="FFFFFF"/>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bookmarkStart w:id="16" w:name="_GoBack"/>
      <w:bookmarkEnd w:id="16"/>
    </w:p>
    <w:p w14:paraId="6857F1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黑体" w:hAnsi="黑体" w:eastAsia="黑体" w:cs="黑体"/>
          <w:b/>
          <w:bCs/>
          <w:i w:val="0"/>
          <w:iCs w:val="0"/>
          <w:caps w:val="0"/>
          <w:color w:val="auto"/>
          <w:spacing w:val="0"/>
          <w:sz w:val="36"/>
          <w:szCs w:val="36"/>
          <w:shd w:val="clear" w:color="auto" w:fill="FFFFFF"/>
          <w:lang w:val="en-US" w:eastAsia="zh-CN"/>
        </w:rPr>
      </w:pPr>
      <w:r>
        <w:rPr>
          <w:rFonts w:hint="eastAsia" w:ascii="黑体" w:hAnsi="黑体" w:eastAsia="黑体" w:cs="黑体"/>
          <w:b/>
          <w:bCs/>
          <w:i w:val="0"/>
          <w:iCs w:val="0"/>
          <w:caps w:val="0"/>
          <w:color w:val="auto"/>
          <w:spacing w:val="0"/>
          <w:sz w:val="36"/>
          <w:szCs w:val="36"/>
          <w:shd w:val="clear" w:color="auto" w:fill="FFFFFF"/>
          <w:lang w:val="en-US" w:eastAsia="zh-CN"/>
        </w:rPr>
        <w:t xml:space="preserve">第七编 </w:t>
      </w:r>
      <w:r>
        <w:rPr>
          <w:rStyle w:val="14"/>
          <w:rFonts w:hint="eastAsia" w:ascii="黑体" w:hAnsi="黑体" w:eastAsia="黑体" w:cs="黑体"/>
          <w:b/>
          <w:bCs/>
          <w:color w:val="auto"/>
          <w:sz w:val="36"/>
          <w:szCs w:val="36"/>
          <w:shd w:val="clear" w:color="auto" w:fill="FFFFFF"/>
        </w:rPr>
        <w:t>院校科研及其经费管理</w:t>
      </w:r>
      <w:bookmarkEnd w:id="3"/>
      <w:bookmarkEnd w:id="4"/>
    </w:p>
    <w:p w14:paraId="10F7DB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rPr>
      </w:pPr>
      <w:bookmarkStart w:id="5" w:name="_Toc21088"/>
      <w:bookmarkStart w:id="6" w:name="_Toc31580"/>
      <w:r>
        <w:rPr>
          <w:rFonts w:hint="eastAsia" w:ascii="宋体" w:hAnsi="宋体" w:eastAsia="宋体" w:cs="宋体"/>
          <w:i w:val="0"/>
          <w:iCs w:val="0"/>
          <w:caps w:val="0"/>
          <w:color w:val="auto"/>
          <w:spacing w:val="0"/>
          <w:sz w:val="36"/>
          <w:szCs w:val="36"/>
          <w:shd w:val="clear" w:color="auto" w:fill="FFFFFF"/>
        </w:rPr>
        <w:t>高等学校知识产权保护管理规定</w:t>
      </w:r>
      <w:bookmarkEnd w:id="5"/>
      <w:bookmarkEnd w:id="6"/>
    </w:p>
    <w:p w14:paraId="5E87364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第一章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总则</w:t>
      </w:r>
    </w:p>
    <w:p w14:paraId="1DABDC4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为有效保护高等学校知识产权，鼓励广大教职员工和学生发明创造和智力创作的积极性，发挥高等学校的智力优势，促进科技成果产业化，依据国家知识产权</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，制定本规定。</w:t>
      </w:r>
    </w:p>
    <w:p w14:paraId="746F6C5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本规定适用于国家举办的高等学校、高等学校所属教学科研机构和企业事业单位（以下简称“所属单位”）。社会力量举办的高等学校及其他教育机构参照适用本规定。</w:t>
      </w:r>
    </w:p>
    <w:p w14:paraId="3FA19B7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本规定所称的知识产权包括：</w:t>
      </w:r>
    </w:p>
    <w:p w14:paraId="219D60C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（一）专利权、商标权；</w:t>
      </w:r>
    </w:p>
    <w:p w14:paraId="0DE2F36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（二）技术秘密和商业秘密；</w:t>
      </w:r>
    </w:p>
    <w:p w14:paraId="2E34615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（三）著作权及其邻接权；</w:t>
      </w:r>
    </w:p>
    <w:p w14:paraId="51B423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（四）高等学校的校标和各种服务标记；</w:t>
      </w:r>
    </w:p>
    <w:p w14:paraId="4C9FDB5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微软雅黑" w:hAnsi="微软雅黑" w:eastAsia="微软雅黑" w:cs="微软雅黑"/>
          <w:i w:val="0"/>
          <w:iCs w:val="0"/>
          <w:caps w:val="0"/>
          <w:color w:val="auto"/>
          <w:spacing w:val="0"/>
          <w:sz w:val="21"/>
          <w:szCs w:val="21"/>
        </w:rPr>
      </w:pPr>
      <w:r>
        <w:rPr>
          <w:rFonts w:hint="eastAsia" w:ascii="仿宋" w:hAnsi="仿宋" w:eastAsia="仿宋" w:cs="仿宋"/>
          <w:i w:val="0"/>
          <w:iCs w:val="0"/>
          <w:caps w:val="0"/>
          <w:color w:val="auto"/>
          <w:spacing w:val="0"/>
          <w:sz w:val="24"/>
          <w:szCs w:val="24"/>
          <w:shd w:val="clear" w:color="auto" w:fill="FFFFFF"/>
        </w:rPr>
        <w:t>（五）依照国家</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规定或者依法由合同约定由高等学校享有或持有的其它知识产权。</w:t>
      </w:r>
    </w:p>
    <w:p w14:paraId="3EF7F08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第二章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任务和职责</w:t>
      </w:r>
    </w:p>
    <w:p w14:paraId="521DD77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高等学校知识产权保护工作的任务是：</w:t>
      </w:r>
    </w:p>
    <w:p w14:paraId="72255E1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（一）贯彻执行国家知识产权</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，制定高等学校知识产权保护工作的方针、政策和规划；</w:t>
      </w:r>
    </w:p>
    <w:p w14:paraId="13FBC68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（二）宣传、普及知识产权法律知识，增强高等学校知识产权保护意识和能力；</w:t>
      </w:r>
    </w:p>
    <w:p w14:paraId="6EDBE30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（三）进一步完善高等学校知识产权管理制度，切实加强高等学校知识产权保护工作；</w:t>
      </w:r>
    </w:p>
    <w:p w14:paraId="3CFF8A9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（四）积极促进和规范管理高等学校科学技术成果及其他智力成果的开发、使用、转让和科技产业的发展。</w:t>
      </w:r>
    </w:p>
    <w:p w14:paraId="5BFC301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第五条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务院教育行政部门和各省、自治区、直辖市人民政府教育行政部门，在其职责范围内，负责对全国或本行政区域的高等学校知识产权工作进行领导和宏观管理，全面规划、推动、指导和监督高等学校知识产权保护工作的开展。</w:t>
      </w:r>
    </w:p>
    <w:p w14:paraId="45E63C2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第六条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各高等学校在知识产权保护工作中应当履行的职责是：</w:t>
      </w:r>
    </w:p>
    <w:p w14:paraId="3AD9002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（一）结合本校的实际情况，制定知识产权工作的具体规划和保护规定；</w:t>
      </w:r>
    </w:p>
    <w:p w14:paraId="78CCD18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（二）加强对知识产权保护工作的组织和领导，完善本校知识产权保护制度，加强本校知识产权工作机构和队伍建设；</w:t>
      </w:r>
    </w:p>
    <w:p w14:paraId="7F6CB42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（三）组织知识产权</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的教育和培训，开展知识产权课程教学和研究工作；</w:t>
      </w:r>
    </w:p>
    <w:p w14:paraId="662A9F6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（四）组织开展本校知识产权的鉴定、申请、登记、注册、评估和管理工作；</w:t>
      </w:r>
    </w:p>
    <w:p w14:paraId="7085446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（五）组织签订、审核本校知识产权的开发、使用和转让合同；</w:t>
      </w:r>
    </w:p>
    <w:p w14:paraId="65AE359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（六）协调解决本校内部有关知识产权的争议和纠纷；</w:t>
      </w:r>
    </w:p>
    <w:p w14:paraId="4F239B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（七）对在科技开发、技术转移以及知识产权保护工作中有突出贡献人员予以奖励；</w:t>
      </w:r>
    </w:p>
    <w:p w14:paraId="4F57E1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（八）组织开展本校有关知识产权保护工作的国际交流与合作；</w:t>
      </w:r>
    </w:p>
    <w:p w14:paraId="77C1CDC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（九）其他在知识产权保护工作中应当履行的职责。</w:t>
      </w:r>
    </w:p>
    <w:p w14:paraId="0F6BAED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第三章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知识产权归属</w:t>
      </w:r>
    </w:p>
    <w:p w14:paraId="4D917E1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高等学校对以下标识依法享有专用权：</w:t>
      </w:r>
    </w:p>
    <w:p w14:paraId="46D89C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（一）以高等学校名义申请注册的商标；</w:t>
      </w:r>
    </w:p>
    <w:p w14:paraId="4BC7A1C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（二）校标；</w:t>
      </w:r>
    </w:p>
    <w:p w14:paraId="0F34D0A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（三）高等学校的其他服务性标记。</w:t>
      </w:r>
    </w:p>
    <w:p w14:paraId="18B4C9C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执行本校及其所属单位任务，或主要利用本校及其所属单位的物质技术条件所完成的发明创造或者其他技术成果，是高等学校职务发明创造或职务技术成果。职务发明创造申请专利的权利属于高等学校。专利权被依法授予后由高等学校持有。职务技术成果的使用权、转让权由高等学校享有。</w:t>
      </w:r>
    </w:p>
    <w:p w14:paraId="61DCA9E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由高等学校主持、代表高等学校意志创作、并由高等学校承担责任的作品为高等学校法人作品，其著作权由高等学校享有。为完成高等学校的工作任务所创作的作品是职务作品，除第十条规定情况外，著作权由完成者享有。高等学校在其业务范围内对职务作品享有优先使用权。作品完成二年内，未经高等学校同意，作者不得许可第三人以与高等学校相同的方式使用该作品。</w:t>
      </w:r>
    </w:p>
    <w:p w14:paraId="0459612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主要利用高等学校的物质技术条件创作，并由高等学校承担责任的工程设计、产品设计图纸、计算机软件、地图等职务作品以及法律、行政法规规定的或者合同约定著作权由高等学校享有的职务作品，作者享有署名权，著作权的其他权利由高等学校享有。</w:t>
      </w:r>
    </w:p>
    <w:p w14:paraId="592EBD9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在执行高等学校科研等工作任务过程中所形成的信息、资料、程序等技术秘密属于高等学校所有。</w:t>
      </w:r>
    </w:p>
    <w:p w14:paraId="615D11C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派遣出国访问、进修、留学及开展合作项目研究的人员，对其在校已进行的研究，而在国外可能完成的发明创造、获得的知识产权，应当与派遣的高等学校签订协议，确定其发明创造及其他知识产权的归属。</w:t>
      </w:r>
    </w:p>
    <w:p w14:paraId="37C4A10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在高等学校学习、进修或者开展合作项目研究的学生、研究人员，在校期间参与导师承担的本校研究课题或者承担学校安排的任务所完成的发明创造及其他技术成果，除另有协议外，应当归高等学校享有或持有。进入博士后流动站的人员，在进站前应就知识产权问题与流动站签定专门协议。</w:t>
      </w:r>
    </w:p>
    <w:p w14:paraId="5FC5ABA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高等学校的离休、退休、停薪留职、调离以及被辞退的人员，在离开高等学校一年内完成的与其原承担的本职工作或任务有关的发明创造或技术成果，由高等学校享有或持有。</w:t>
      </w:r>
    </w:p>
    <w:p w14:paraId="5339843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职务发明创造或职务技术成果，以及职务作品的完成人依法享有在有关技术文件和作品上署名及获得奖励和报酬的权利。</w:t>
      </w:r>
    </w:p>
    <w:p w14:paraId="4C9893C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第四章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知识产权管理机构</w:t>
      </w:r>
    </w:p>
    <w:p w14:paraId="156842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建立知识产权办公会议制度，逐步建立健全知识产权工作机构。有条件的高等学校，可实行知识产权登记管理制度；设立知识产权保护与管理工作机构，归口管理本单位知识产权保护工作。暂未设立知识产权保护与管理机构的高等学校，应指定科研管理机构或其他机构担负相关职责。</w:t>
      </w:r>
    </w:p>
    <w:p w14:paraId="5B509B9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科研管理机构负责本校科研项目的立项、成果和档案管理。应用技术项目的课题组或课题研究人员，在申请立项之前应当进行专利文献及其相关文献的检索。课题组或课题研究人员在科研工作过程中，应当做好技术资料的记录和保管工作。科研项囤完成后，课题负责人应当将全部实验报告、实验记录、图纸、声像、手稿等原始技术资料收集整理后交本校科研管理机构归档。</w:t>
      </w:r>
    </w:p>
    <w:p w14:paraId="29C3773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在科研活动中作出的职务发明创造或者形成的职务技术成果，课题负责人应当及时向本校科研管理机构叶口识产权管理机构）提出申请专利的建议，并提交相关资料。高等学校的科研管理机构应当对课题负责人的建议和相关资料进行审查，对需要申请专利的应当及时办理专利申请，对不宜申请专利的技术秘密要采取措施予以保护。</w:t>
      </w:r>
    </w:p>
    <w:p w14:paraId="1B6F3DA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规范和加强有关知识产权合同的签订、审核和管理工作。高等学校及其所属单位与国内外单位或者个人合作进行科学研究和技术开发，对外进行知识产权转让或者许可使用，应当依法签订书面合同，明确知识产权的归属以及相应的权利、义务等内容。高等学校的知识产权管理机构负责对高等学校及其所属单位签订的知识产权合同进行审核和管理。</w:t>
      </w:r>
    </w:p>
    <w:p w14:paraId="0D84EDC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高等学校所属单位对外进行知识产权转让或者许可使用前，应当经学校知识产权管理机构审查，并报学校批准。</w:t>
      </w:r>
    </w:p>
    <w:p w14:paraId="0F8E44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的教职员工和学生凡申请非职务专利，登记非职务计算机软件的，以及进行非职务专利、非职务技术成果以及非职务作品转让和许可的，应当向本校知识产权管理机构申报，接受审核。对于符合非职务条件的，学校应出具相应证明。</w:t>
      </w:r>
    </w:p>
    <w:p w14:paraId="5FAC8D9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要加强科技保密管理。高等学校的教职员工和学生，在开展国内外学术交流与合作过程中，对属于本校保密的信息和技术，要按照国家和本校的有关规定严格保密。高等学校对在国内外科技展览会参展的项目应当加强审核和管理、做好科技保密管理工作。</w:t>
      </w:r>
    </w:p>
    <w:p w14:paraId="764B7ED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重视开展知识产权的资产评估工作，加强对知识产权资产评估的组织和管理。高等学校对外进行知识产权转让、许可使用、作价投资入股或者作为对校办科技产业的投入，应当对知识产权进行资产评估。</w:t>
      </w:r>
    </w:p>
    <w:p w14:paraId="559B50D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高等学校可根据情况逐步实行知识产权保证书制度，与有关教职员工和学生签订保护本校知识产权的保证书，明确保护本校知识产权的义务。</w:t>
      </w:r>
    </w:p>
    <w:p w14:paraId="5D8E489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第五章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奖酬与扶持</w:t>
      </w:r>
    </w:p>
    <w:p w14:paraId="2D96098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依法保护职务发明创造、职务技术成果、高等学校法人作品及职务作品的研究、创作人员的合法权益，对在知识产权的产生、发展，科技成果产业化方面作出突出贡献的人员，按照国家的有关规定给予奖励。</w:t>
      </w:r>
    </w:p>
    <w:p w14:paraId="0AEFCC7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将其知识产权或职务发明创造、职务技术成果转让给他人或许可他人使用的，应当从转让或许可使用所取得的净收入中，提取不低于20％的比例，对完成该项职务发明创造、职务技术成果及其转化作出重要贡献的人员给予奖励。为促进科技成果产业化，对经学校许可，由职务发明创造、职务技术成果完成人进行产业化的，可以从转化收入中提取不低于30％的比例给予奖酬。</w:t>
      </w:r>
    </w:p>
    <w:p w14:paraId="73C1D1B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及其所属单位独立研究开发或者与其他单位合作研究开发的科技成果实施转化成功投产后，高等学校应当连续三至五年从实施该项科技成果所取得的收入中提取不低于5％的比例，对完成该项科技成果及其产业化作出重要贡献的人员给予奖酬。采用股份制形式的高等学校科技企业，或者主要以技术向其他股份制企业投资入股的高等学校，可以将在科技成果的研究开发、产业化中做出重要贡献的有关人员的报酬或者奖励，按照国家有关规定折算为相应的股份份额或者出资比例。该持股人依据其所持股份份额或出资比例分享收益。</w:t>
      </w:r>
    </w:p>
    <w:p w14:paraId="36A595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1"/>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根据实际情况，采取有效措施，对知识产权的保护、管理工作提供必要的条件保障。高等学校应拨出专款或从技术实施收益中提取一定比例，设立知识产权专项基金，用于支持补贴专利申请，维持和知识产权保护方面的有关费用。对知识产权保护与管理做出突出贡献的单位和个人，高等学校应给予奖励，并作为工作业绩和职称评聘的重要参考。</w:t>
      </w:r>
    </w:p>
    <w:p w14:paraId="130E4C1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第六章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法律责任</w:t>
      </w:r>
    </w:p>
    <w:p w14:paraId="30BA109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剽窃、窃取、篡改、非法占有、假冒或者以其他方式侵害由高等学校及其教职员工和学生依法享有或持有的知识产权的，高等学校有处理权的，应责令其改正，并对直接责任人给予相应的处分；对无处理权的，应提请并协助有关行政部门依法作出处理。构成犯罪的，应当依法追究刑事责任。</w:t>
      </w:r>
    </w:p>
    <w:p w14:paraId="4275E58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在高等学校教学、科研、创作以及成果的申报、评审、鉴定、产业化活动中，采取欺骗手段，获得优惠待遇或者奖励的，高等学校应当责令改正，退还非法所得，取消其获得的优惠待遇和奖励。</w:t>
      </w:r>
    </w:p>
    <w:p w14:paraId="6C4AE2A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违反本规定，泄漏本校的技术秘密，或者擅自转让、变相转让以及许可使用高等学校的职务发明创造、职务技术成果、高等学校法人作品或者职务作品的，或造成高等学校资产流失和损失的，由高等学校或其主管教育行政部门对直接责任人员给予行政处分。</w:t>
      </w:r>
    </w:p>
    <w:p w14:paraId="0A55C79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侵犯高等学校及其教职员工和学生依法享有或持有的知识产权，造成损失、损害的，应当依法承担民事责任。</w:t>
      </w:r>
    </w:p>
    <w:p w14:paraId="7C3EB57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第七章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附则</w:t>
      </w:r>
    </w:p>
    <w:p w14:paraId="46EAF9C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本规定自发布之日起施行。</w:t>
      </w:r>
    </w:p>
    <w:p w14:paraId="2037DDF4">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54639B1F">
      <w:pPr>
        <w:keepNext w:val="0"/>
        <w:keepLines w:val="0"/>
        <w:pageBreakBefore w:val="0"/>
        <w:kinsoku/>
        <w:wordWrap/>
        <w:overflowPunct/>
        <w:topLinePunct w:val="0"/>
        <w:autoSpaceDE/>
        <w:autoSpaceDN/>
        <w:bidi w:val="0"/>
        <w:adjustRightInd/>
        <w:snapToGrid/>
        <w:spacing w:line="240" w:lineRule="auto"/>
        <w:jc w:val="center"/>
        <w:textAlignment w:val="auto"/>
        <w:outlineLvl w:val="1"/>
        <w:rPr>
          <w:rFonts w:hint="eastAsia" w:ascii="仿宋" w:hAnsi="仿宋" w:eastAsia="仿宋" w:cs="仿宋"/>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36"/>
          <w:szCs w:val="36"/>
          <w:shd w:val="clear" w:color="auto" w:fill="FFFFFF"/>
        </w:rPr>
        <w:br w:type="page"/>
      </w:r>
      <w:bookmarkStart w:id="7" w:name="_Toc3311"/>
      <w:bookmarkStart w:id="8" w:name="_Toc29567"/>
      <w:r>
        <w:rPr>
          <w:rFonts w:hint="eastAsia" w:ascii="宋体" w:hAnsi="宋体" w:eastAsia="宋体" w:cs="宋体"/>
          <w:b/>
          <w:bCs/>
          <w:i w:val="0"/>
          <w:iCs w:val="0"/>
          <w:caps w:val="0"/>
          <w:color w:val="auto"/>
          <w:spacing w:val="0"/>
          <w:sz w:val="36"/>
          <w:szCs w:val="36"/>
          <w:shd w:val="clear" w:color="auto" w:fill="FFFFFF"/>
        </w:rPr>
        <w:t>关于进一步加强科研诚信建设的若干意见</w:t>
      </w:r>
      <w:bookmarkEnd w:id="7"/>
      <w:bookmarkEnd w:id="8"/>
    </w:p>
    <w:p w14:paraId="460E935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科研诚信是科技创新的基石。近年来，我国科研诚信建设在工作机制、制度规范、教育引导、监督惩戒等方面取得了显著成效，但整体上仍存在短板和薄弱环节，违背科研诚信要求的行为时有发生。为全面贯彻党的十九大精神，培育和践行社会主义核心价值观，弘扬科学精神，倡导创新文化，加快建设创新型国家，现就进一步加强科研诚信建设、营造诚实守信的良好科研环境提出以下意见。</w:t>
      </w:r>
    </w:p>
    <w:p w14:paraId="4F0E85C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一、总体要求 </w:t>
      </w:r>
    </w:p>
    <w:p w14:paraId="6128CF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（一）指导思想。</w:t>
      </w:r>
      <w:r>
        <w:rPr>
          <w:rFonts w:hint="eastAsia" w:ascii="仿宋" w:hAnsi="仿宋" w:eastAsia="仿宋" w:cs="仿宋"/>
          <w:i w:val="0"/>
          <w:iCs w:val="0"/>
          <w:caps w:val="0"/>
          <w:color w:val="auto"/>
          <w:spacing w:val="0"/>
          <w:sz w:val="24"/>
          <w:szCs w:val="24"/>
          <w:shd w:val="clear" w:color="auto" w:fill="FFFFFF"/>
        </w:rPr>
        <w:t>全面贯彻党的十九大和十九届二中、三中全会精神，以习近平新时代中国特色社会主义思想为指导，落实党中央、国务院关于社会信用体系建设的总体要求，以优化科技创新环境为目标，以推进科研诚信建设制度化为重点，以健全完善科研诚信工作机制为保障，坚持预防与惩治并举，坚持自律与监督并重，坚持无禁区、全覆盖、零容忍，严肃查处违背科研诚信要求的行为，着力打造共建共享共治的科研诚信建设新格局，营造诚实守信、追求真理、崇尚创新、鼓励探索、勇攀高峰的良好氛围，为建设世界科技强国奠定坚实的社会文化基础。</w:t>
      </w:r>
    </w:p>
    <w:p w14:paraId="02E967C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（二）基本原则</w:t>
      </w:r>
    </w:p>
    <w:p w14:paraId="3C3615B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——明确责任，协调有序。加强顶层设计、统筹协调，明确科研诚信建设各主体职责，加强部门沟通、协同、联动，形成全社会推进科研诚信建设合力。</w:t>
      </w:r>
    </w:p>
    <w:p w14:paraId="5E9F4A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——系统推进，重点突破。构建符合科研规律、适应建设世界科技强国要求的科研诚信体系。坚持问题导向，重点在实践养成、调查处理等方面实现突破，在提高诚信意识、优化科研环境等方面取得实效。</w:t>
      </w:r>
    </w:p>
    <w:p w14:paraId="0538D01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——激励创新，宽容失败。充分尊重科学研究灵感瞬间性、方式多样性、路径不确定性的特点，重视科研试错探索的价值，建立鼓励创新、宽容失败的容错纠错机制，形成敢为人先、勇于探索的科研氛围。</w:t>
      </w:r>
    </w:p>
    <w:p w14:paraId="3F354AA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坚守底线，终身追责。综合采取教育引导、合同约定、社会监督等多种方式，营造坚守底线、严格自律的制度环境和社会氛围，让守信者一路绿灯，失信者处处受限。坚持零容忍，强化责任追究，对严重违背科研诚信要求的行为依法依规终身追责。</w:t>
      </w:r>
    </w:p>
    <w:p w14:paraId="4572510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（三）主要目标。</w:t>
      </w:r>
      <w:r>
        <w:rPr>
          <w:rFonts w:hint="eastAsia" w:ascii="仿宋" w:hAnsi="仿宋" w:eastAsia="仿宋" w:cs="仿宋"/>
          <w:i w:val="0"/>
          <w:iCs w:val="0"/>
          <w:caps w:val="0"/>
          <w:color w:val="auto"/>
          <w:spacing w:val="0"/>
          <w:sz w:val="24"/>
          <w:szCs w:val="24"/>
          <w:shd w:val="clear" w:color="auto" w:fill="FFFFFF"/>
        </w:rPr>
        <w:t>在各方共同努力下，科学规范、激励有效、惩处有力的科研诚信制度规则健全完备，职责清晰、协调有序、监管到位的科研诚信工作机制有效运行，覆盖全面、共享联动、动态管理的科研诚信信息系统建立完善，广大科研人员的诚信意识显著增强，弘扬科学精神、恪守诚信规范成为科技界的共同理念和自觉行动，全社会的诚信基础和创新生态持续巩固发展，为建设创新型国家和世界科技强国奠定坚实基础，为把我国建成富强民主文明和谐美丽的社会主义现代化强国提供重要支撑。</w:t>
      </w:r>
    </w:p>
    <w:p w14:paraId="576F5DA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color w:val="auto"/>
          <w:sz w:val="21"/>
          <w:szCs w:val="21"/>
        </w:rPr>
      </w:pPr>
      <w:r>
        <w:rPr>
          <w:rStyle w:val="14"/>
          <w:rFonts w:hint="eastAsia" w:ascii="黑体" w:hAnsi="黑体" w:eastAsia="黑体" w:cs="黑体"/>
          <w:i w:val="0"/>
          <w:iCs w:val="0"/>
          <w:caps w:val="0"/>
          <w:color w:val="auto"/>
          <w:spacing w:val="0"/>
          <w:sz w:val="24"/>
          <w:szCs w:val="24"/>
          <w:shd w:val="clear" w:color="auto" w:fill="FFFFFF"/>
        </w:rPr>
        <w:t>二、完善科研诚信管理工作机制和责任体系</w:t>
      </w:r>
    </w:p>
    <w:p w14:paraId="14C2967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（四）建立健全职责明确、高效协同的科研诚信管理体系。</w:t>
      </w:r>
      <w:r>
        <w:rPr>
          <w:rFonts w:hint="eastAsia" w:ascii="仿宋" w:hAnsi="仿宋" w:eastAsia="仿宋" w:cs="仿宋"/>
          <w:i w:val="0"/>
          <w:iCs w:val="0"/>
          <w:caps w:val="0"/>
          <w:color w:val="auto"/>
          <w:spacing w:val="0"/>
          <w:sz w:val="24"/>
          <w:szCs w:val="24"/>
          <w:shd w:val="clear" w:color="auto" w:fill="FFFFFF"/>
        </w:rPr>
        <w:t>科技部、中国社科院分别负责自然科学领域和哲学社会科学领域科研诚信工作的统筹协调和宏观指导。地方各级政府和相关行业主管部门要积极采取措施加强本地区本系统的科研诚信建设，充实工作力量，强化工作保障。科技计划管理部门要加强科技计划的科研诚信管理，建立健全以诚信为基础的科技计划监管机制，将科研诚信要求融入科技计划管理全过程。教育、卫生健康、新闻出版等部门要明确要求教育、医疗、学术期刊出版等单位完善内控制度，加强科研诚信建设。中国科学院、中国工程院、中国科协要强化对院士的科研诚信要求和监督管理，加强院士推荐（提名）的诚信审核。</w:t>
      </w:r>
    </w:p>
    <w:p w14:paraId="1E42C4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（五）从事科研活动及参与科技管理服务的各类机构要切实履行科研诚信建设的主体责任。</w:t>
      </w:r>
      <w:r>
        <w:rPr>
          <w:rFonts w:hint="eastAsia" w:ascii="仿宋" w:hAnsi="仿宋" w:eastAsia="仿宋" w:cs="仿宋"/>
          <w:i w:val="0"/>
          <w:iCs w:val="0"/>
          <w:caps w:val="0"/>
          <w:color w:val="auto"/>
          <w:spacing w:val="0"/>
          <w:sz w:val="24"/>
          <w:szCs w:val="24"/>
          <w:shd w:val="clear" w:color="auto" w:fill="FFFFFF"/>
        </w:rPr>
        <w:t>从事科研活动的各类企业、事业单位、社会组织等是科研诚信建设第一责任主体，要对加强科研诚信建设作出具体安排，将科研诚信工作纳入常态化管理。通过单位章程、员工行为规范、岗位说明书等内部规章制度及聘用合同，对本单位员工遵守科研诚信要求及责任追究作出明确规定或约定。</w:t>
      </w:r>
    </w:p>
    <w:p w14:paraId="6138326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科研机构、高等学校要通过单位章程或制定学术委员会章程，对学术委员会科研诚信工作任务、职责权限作出明确规定，并在工作经费、办事机构、专职人员等方面提供必要保障。学术委员会要认真履行科研诚信建设职责，切实发挥审议、评定、受理、调查、监督、咨询等作用，对违背科研诚信要求的行为，发现一起，查处一起。学术委员会要组织开展或委托基层学术组织、第三方机构对本单位科研人员的重要学术论文等科研成果进行全覆盖核查，核查工作应以3－5年为周期持续开展。</w:t>
      </w:r>
    </w:p>
    <w:p w14:paraId="4AD622F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科技计划（专项、基金等）项目管理专业机构要严格按照科研诚信要求，加强立项评审、项目管理、验收评估等科技计划全过程和项目承担单位、评审专家等科技计划各类主体的科研诚信管理，对违背科研诚信要求的行为要严肃查处。</w:t>
      </w:r>
    </w:p>
    <w:p w14:paraId="70CA8AC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从事科技评估、科技咨询、科技成果转化、科技企业孵化和科研经费审计等的科技中介服务机构要严格遵守行业规范，强化诚信管理，自觉接受监督。</w:t>
      </w:r>
    </w:p>
    <w:p w14:paraId="60F2C87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（六）学会、协会、研究会等社会团体要发挥自律自净功能。</w:t>
      </w:r>
      <w:r>
        <w:rPr>
          <w:rFonts w:hint="eastAsia" w:ascii="仿宋" w:hAnsi="仿宋" w:eastAsia="仿宋" w:cs="仿宋"/>
          <w:i w:val="0"/>
          <w:iCs w:val="0"/>
          <w:caps w:val="0"/>
          <w:color w:val="auto"/>
          <w:spacing w:val="0"/>
          <w:sz w:val="24"/>
          <w:szCs w:val="24"/>
          <w:shd w:val="clear" w:color="auto" w:fill="FFFFFF"/>
        </w:rPr>
        <w:t>学会、协会、研究会等社会团体要主动发挥作用，在各自领域积极开展科研活动行为规范制定、诚信教育引导、诚信案件调查认定、科研诚信理论研究等工作，实现自我规范、自我管理、自我净化。</w:t>
      </w:r>
    </w:p>
    <w:p w14:paraId="08BCD9D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（七）从事科研活动和参与科技管理服务的各类人员要坚守底线、严格自律。</w:t>
      </w:r>
      <w:r>
        <w:rPr>
          <w:rFonts w:hint="eastAsia" w:ascii="仿宋" w:hAnsi="仿宋" w:eastAsia="仿宋" w:cs="仿宋"/>
          <w:i w:val="0"/>
          <w:iCs w:val="0"/>
          <w:caps w:val="0"/>
          <w:color w:val="auto"/>
          <w:spacing w:val="0"/>
          <w:sz w:val="24"/>
          <w:szCs w:val="24"/>
          <w:shd w:val="clear" w:color="auto" w:fill="FFFFFF"/>
        </w:rPr>
        <w:t>科研人员要恪守科学道德准则，遵守科研活动规范，践行科研诚信要求，不得抄袭、剽窃他人科研成果或者伪造、篡改研究数据、研究结论；不得购买、代写、代投论文，虚构同行评议专家及评议意见；不得违反论文署名规范，擅自标注或虚假标注获得科技计划（专项、基金等）等资助；不得弄虚作假，骗取科技计划（专项、基金等）项目、科研经费以及奖励、荣誉等；不得有其他违背科研诚信要求的行为。</w:t>
      </w:r>
    </w:p>
    <w:p w14:paraId="11ECC3C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项目（课题）负责人、研究生导师等要充分发挥言传身教作用，加强对项目（课题）成员、学生的科研诚信管理，对重要论文等科研成果的署名、研究数据真实性、实验可重复性等进行诚信审核和学术把关。院士等杰出高级专家要在科研诚信建设中发挥示范带动作用，做遵守科研道德的模范和表率。</w:t>
      </w:r>
    </w:p>
    <w:p w14:paraId="72742DA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评审专家、咨询专家、评估人员、经费审计人员等要忠于职守，严格遵守科研诚信要求和职业道德，按照有关规定、程序和办法，实事求是，独立、客观、公正开展工作，为科技管理决策提供负责任、高质量的咨询评审意见。科技管理人员要正确履行管理、指导、监督职责，全面落实科研诚信要求。</w:t>
      </w:r>
    </w:p>
    <w:p w14:paraId="2035E01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三、加强科研活动全流程诚信管理</w:t>
      </w:r>
    </w:p>
    <w:p w14:paraId="59E6F7E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（八）加强科技计划全过程的科研诚信管理。</w:t>
      </w:r>
      <w:r>
        <w:rPr>
          <w:rFonts w:hint="eastAsia" w:ascii="仿宋" w:hAnsi="仿宋" w:eastAsia="仿宋" w:cs="仿宋"/>
          <w:i w:val="0"/>
          <w:iCs w:val="0"/>
          <w:caps w:val="0"/>
          <w:color w:val="auto"/>
          <w:spacing w:val="0"/>
          <w:sz w:val="24"/>
          <w:szCs w:val="24"/>
          <w:shd w:val="clear" w:color="auto" w:fill="FFFFFF"/>
        </w:rPr>
        <w:t>科技计划管理部门要修改完善各级各类科技计划项目管理制度，将科研诚信建设要求落实到项目指南、立项评审、过程管理、结题验收和监督评估等科技计划管理全过程。要在各类科研合同（任务书、协议等）中约定科研诚信义务和违约责任追究条款，加强科研诚信合同管理。完善科技计划监督检查机制，加强对相关责任主体科研诚信履责情况的经常性检查。</w:t>
      </w:r>
    </w:p>
    <w:p w14:paraId="4280B26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（九）全面实施科研诚信承诺制。</w:t>
      </w:r>
      <w:r>
        <w:rPr>
          <w:rFonts w:hint="eastAsia" w:ascii="仿宋" w:hAnsi="仿宋" w:eastAsia="仿宋" w:cs="仿宋"/>
          <w:i w:val="0"/>
          <w:iCs w:val="0"/>
          <w:caps w:val="0"/>
          <w:color w:val="auto"/>
          <w:spacing w:val="0"/>
          <w:sz w:val="24"/>
          <w:szCs w:val="24"/>
          <w:shd w:val="clear" w:color="auto" w:fill="FFFFFF"/>
        </w:rPr>
        <w:t>相关行业主管部门、项目管理专业机构等要在科技计划项目、创新基地、院士增选、科技奖励、重大人才工程等工作中实施科研诚信承诺制度，要求从事推荐（提名）、申报、评审、评估等工作的相关人员签署科研诚信承诺书，明确承诺事项和违背承诺的处理要求。</w:t>
      </w:r>
    </w:p>
    <w:p w14:paraId="3D32DAD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（十）强化科研诚信审核。</w:t>
      </w:r>
      <w:r>
        <w:rPr>
          <w:rFonts w:hint="eastAsia" w:ascii="仿宋" w:hAnsi="仿宋" w:eastAsia="仿宋" w:cs="仿宋"/>
          <w:i w:val="0"/>
          <w:iCs w:val="0"/>
          <w:caps w:val="0"/>
          <w:color w:val="auto"/>
          <w:spacing w:val="0"/>
          <w:sz w:val="24"/>
          <w:szCs w:val="24"/>
          <w:shd w:val="clear" w:color="auto" w:fill="FFFFFF"/>
        </w:rPr>
        <w:t>科技计划管理部门、项目管理专业机构要对科技计划项目申请人开展科研诚信审核，将具备良好的科研诚信状况作为参与各类科技计划的必备条件。对严重违背科研诚信要求的责任者，实行“一票否决”。相关行业主管部门要将科研诚信审核作为院士增选、科技奖励、职称评定、学位授予等工作的必经程序。</w:t>
      </w:r>
    </w:p>
    <w:p w14:paraId="7BD83AE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（十一）建立健全学术论文等科研成果管理制度。</w:t>
      </w:r>
      <w:r>
        <w:rPr>
          <w:rFonts w:hint="eastAsia" w:ascii="仿宋" w:hAnsi="仿宋" w:eastAsia="仿宋" w:cs="仿宋"/>
          <w:i w:val="0"/>
          <w:iCs w:val="0"/>
          <w:caps w:val="0"/>
          <w:color w:val="auto"/>
          <w:spacing w:val="0"/>
          <w:sz w:val="24"/>
          <w:szCs w:val="24"/>
          <w:shd w:val="clear" w:color="auto" w:fill="FFFFFF"/>
        </w:rPr>
        <w:t>科技计划管理部门、项目管理专业机构要加强对科技计划成果质量、效益、影响的评估。从事科学研究活动的企业、事业单位、社会组织等应加强科研成果管理，建立学术论文发表诚信承诺制度、科研过程可追溯制度、科研成果检查和报告制度等成果管理制度。学术论文等科研成果存在违背科研诚信要求情形的，应对相应责任人严肃处理并要求其采取撤回论文等措施，消除不良影响。</w:t>
      </w:r>
    </w:p>
    <w:p w14:paraId="5D8250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（十二）着力深化科研评价制度改革。</w:t>
      </w:r>
      <w:r>
        <w:rPr>
          <w:rFonts w:hint="eastAsia" w:ascii="仿宋" w:hAnsi="仿宋" w:eastAsia="仿宋" w:cs="仿宋"/>
          <w:i w:val="0"/>
          <w:iCs w:val="0"/>
          <w:caps w:val="0"/>
          <w:color w:val="auto"/>
          <w:spacing w:val="0"/>
          <w:sz w:val="24"/>
          <w:szCs w:val="24"/>
          <w:shd w:val="clear" w:color="auto" w:fill="FFFFFF"/>
        </w:rPr>
        <w:t>推进项目评审、人才评价、机构评估改革，建立以科技创新质量、贡献、绩效为导向的分类评价制度，将科研诚信状况作为各类评价的重要指标，提倡严谨治学，反对急功近利。坚持分类评价，突出品德、能力、业绩导向，注重标志性成果质量、贡献、影响，推行代表作评价制度，不把论文、专利、荣誉性头衔、承担项目、获奖等情况作为限制性条件，防止简单量化、重数量轻质量、“一刀切”等倾向。尊重科学研究规律，合理设定评价周期，建立重大科学研究长周期考核机制。开展临床医学研究人员评价改革试点，建立设置合理、评价科学、管理规范、运转协调、服务全面的临床医学研究人员考核评价体系。</w:t>
      </w:r>
    </w:p>
    <w:p w14:paraId="06B082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四、进一步推进科研诚信制度化建设</w:t>
      </w:r>
    </w:p>
    <w:p w14:paraId="6705CC5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（十三）完善科研诚信管理制度。</w:t>
      </w:r>
      <w:r>
        <w:rPr>
          <w:rFonts w:hint="eastAsia" w:ascii="仿宋" w:hAnsi="仿宋" w:eastAsia="仿宋" w:cs="仿宋"/>
          <w:i w:val="0"/>
          <w:iCs w:val="0"/>
          <w:caps w:val="0"/>
          <w:color w:val="auto"/>
          <w:spacing w:val="0"/>
          <w:sz w:val="24"/>
          <w:szCs w:val="24"/>
          <w:shd w:val="clear" w:color="auto" w:fill="FFFFFF"/>
        </w:rPr>
        <w:t>科技部、中国社科院要会同相关单位加强科研诚信制度建设，完善教育宣传、诚信案件调查处理、信息采集、分类评价等管理制度。从事科学研究的企业、事业单位、社会组织等应建立健全本单位教育预防、科研活动记录、科研档案保存等各项制度，明晰责任主体，完善内部监督约束机制。</w:t>
      </w:r>
    </w:p>
    <w:p w14:paraId="635069B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（十四）完善违背科研诚信要求行为的调查处理规则。</w:t>
      </w:r>
      <w:r>
        <w:rPr>
          <w:rFonts w:hint="eastAsia" w:ascii="仿宋" w:hAnsi="仿宋" w:eastAsia="仿宋" w:cs="仿宋"/>
          <w:i w:val="0"/>
          <w:iCs w:val="0"/>
          <w:caps w:val="0"/>
          <w:color w:val="auto"/>
          <w:spacing w:val="0"/>
          <w:sz w:val="24"/>
          <w:szCs w:val="24"/>
          <w:shd w:val="clear" w:color="auto" w:fill="FFFFFF"/>
        </w:rPr>
        <w:t>科技部、中国社科院要会同教育部、国家卫生健康委、中国科学院、中国科协等部门和单位依法依规研究制定统一的调查处理规则，对举报受理、调查程序、职责分工、处理尺度、申诉、实名举报人及被举报人保护等作出明确规定。从事科学研究的企业、事业单位、社会组织等应制定本单位的调查处理办法，明确调查程序、处理规则、处理措施等具体要求。</w:t>
      </w:r>
    </w:p>
    <w:p w14:paraId="0FAC66C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（十五）建立健全学术期刊管理和预警制度。</w:t>
      </w:r>
      <w:r>
        <w:rPr>
          <w:rFonts w:hint="eastAsia" w:ascii="仿宋" w:hAnsi="仿宋" w:eastAsia="仿宋" w:cs="仿宋"/>
          <w:i w:val="0"/>
          <w:iCs w:val="0"/>
          <w:caps w:val="0"/>
          <w:color w:val="auto"/>
          <w:spacing w:val="0"/>
          <w:sz w:val="24"/>
          <w:szCs w:val="24"/>
          <w:shd w:val="clear" w:color="auto" w:fill="FFFFFF"/>
        </w:rPr>
        <w:t>新闻出版等部门要完善期刊管理制度，采取有效措施，加强高水平学术期刊建设，强化学术水平和社会效益优先要求，提升我国学术期刊影响力，提高学术期刊国际话语权。学术期刊应充分发挥在科研诚信建设中的作用，切实提高审稿质量，加强对学术论文的审核把关。</w:t>
      </w:r>
    </w:p>
    <w:p w14:paraId="4F1FE1F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科技部要建立学术期刊预警机制，支持相关机构发布国内和国际学术期刊预警名单，并实行动态跟踪、及时调整。将罔顾学术质量、管理混乱、商业利益至上，造成恶劣影响的学术期刊，列入黑名单。论文作者所在单位应加强对本单位科研人员发表论文的管理，对在列入预警名单的学术期刊上发表论文的科研人员，要及时警示提醒；对在列入黑名单的学术期刊上发表的论文，在各类评审评价中不予认可，不得报销论文发表的相关费用。</w:t>
      </w:r>
    </w:p>
    <w:p w14:paraId="3253844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五、切实加强科研诚信的教育和宣传</w:t>
      </w:r>
    </w:p>
    <w:p w14:paraId="0238BF3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（十六）加强科研诚信教育。</w:t>
      </w:r>
      <w:r>
        <w:rPr>
          <w:rFonts w:hint="eastAsia" w:ascii="仿宋" w:hAnsi="仿宋" w:eastAsia="仿宋" w:cs="仿宋"/>
          <w:i w:val="0"/>
          <w:iCs w:val="0"/>
          <w:caps w:val="0"/>
          <w:color w:val="auto"/>
          <w:spacing w:val="0"/>
          <w:sz w:val="24"/>
          <w:szCs w:val="24"/>
          <w:shd w:val="clear" w:color="auto" w:fill="FFFFFF"/>
        </w:rPr>
        <w:t>从事科学研究的企业、事业单位、社会组织应将科研诚信工作纳入日常管理，加强对科研人员、教师、青年学生等的科研诚信教育，在入学入职、职称晋升、参与科技计划项目等重要节点必须开展科研诚信教育。对在科研诚信方面存在倾向性、苗头性问题的人员，所在单位应当及时开展科研诚信诫勉谈话，加强教育。</w:t>
      </w:r>
    </w:p>
    <w:p w14:paraId="6317E50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科技计划管理部门、项目管理专业机构以及项目承担单位，应当结合科技计划组织实施的特点，对承担或参与科技计划项目的科研人员有效开展科研诚信教育。</w:t>
      </w:r>
    </w:p>
    <w:p w14:paraId="456458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（十七）充分发挥学会、协会、研究会等社会团体的教育培训作用。</w:t>
      </w:r>
      <w:r>
        <w:rPr>
          <w:rFonts w:hint="eastAsia" w:ascii="仿宋" w:hAnsi="仿宋" w:eastAsia="仿宋" w:cs="仿宋"/>
          <w:i w:val="0"/>
          <w:iCs w:val="0"/>
          <w:caps w:val="0"/>
          <w:color w:val="auto"/>
          <w:spacing w:val="0"/>
          <w:sz w:val="24"/>
          <w:szCs w:val="24"/>
          <w:shd w:val="clear" w:color="auto" w:fill="FFFFFF"/>
        </w:rPr>
        <w:t>学会、协会、研究会等社会团体要主动加强科研诚信教育培训工作，帮助科研人员熟悉和掌握科研诚信具体要求，引导科研人员自觉抵制弄虚作假、欺诈剽窃等行为，开展负责任的科学研究。</w:t>
      </w:r>
    </w:p>
    <w:p w14:paraId="18D389B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（十八）加强科研诚信宣传。</w:t>
      </w:r>
      <w:r>
        <w:rPr>
          <w:rFonts w:hint="eastAsia" w:ascii="仿宋" w:hAnsi="仿宋" w:eastAsia="仿宋" w:cs="仿宋"/>
          <w:i w:val="0"/>
          <w:iCs w:val="0"/>
          <w:caps w:val="0"/>
          <w:color w:val="auto"/>
          <w:spacing w:val="0"/>
          <w:sz w:val="24"/>
          <w:szCs w:val="24"/>
          <w:shd w:val="clear" w:color="auto" w:fill="FFFFFF"/>
        </w:rPr>
        <w:t>创新手段，拓宽渠道，充分利用广播电视、报刊杂志等传统媒体及微博、微信、手机客户端等新媒体，加强科研诚信宣传教育。大力宣传科研诚信典范榜样，发挥典型人物示范作用。及时曝光违背科研诚信要求的典型案例，开展警示教育。</w:t>
      </w:r>
    </w:p>
    <w:p w14:paraId="4DA5DD5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六、严肃查处严重违背科研诚信要求的行为</w:t>
      </w:r>
    </w:p>
    <w:p w14:paraId="26BFCD0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（十九）切实履行调查处理责任。</w:t>
      </w:r>
      <w:r>
        <w:rPr>
          <w:rFonts w:hint="eastAsia" w:ascii="仿宋" w:hAnsi="仿宋" w:eastAsia="仿宋" w:cs="仿宋"/>
          <w:i w:val="0"/>
          <w:iCs w:val="0"/>
          <w:caps w:val="0"/>
          <w:color w:val="auto"/>
          <w:spacing w:val="0"/>
          <w:sz w:val="24"/>
          <w:szCs w:val="24"/>
          <w:shd w:val="clear" w:color="auto" w:fill="FFFFFF"/>
        </w:rPr>
        <w:t>自然科学论文造假监管由科技部负责，哲学社会科学论文造假监管由中国社科院负责。科技部、中国社科院要明确相关机构负责科研诚信工作，做好受理举报、核查事实、日常监管等工作，建立跨部门联合调查机制，组织开展对科研诚信重大案件联合调查。违背科研诚信要求行为人所在单位是调查处理第一责任主体，应当明确本单位科研诚信机构和监察审计机构等调查处理职责分工，积极主动、公正公平开展调查处理。相关行业主管部门应按照职责权限和隶属关系，加强指导和及时督促，坚持学术、行政两条线，注重发挥学会、协会、研究会等社会团体作用。对从事学术论文买卖、代写代投以及伪造、虚构、篡改研究数据等违法违规活动的中介服务机构，市场监督管理、公安等部门应主动开展调查，严肃惩处。保障相关责任主体申诉权等合法权利，事实认定和处理决定应履行对当事人的告知义务，依法依规及时公布处理结果。科研人员应当积极配合调查，及时提供完整有效的科学研究记录，对拒不配合调查、隐匿销毁研究记录的，要从重处理。对捏造事实、诬告陷害的，要依据有关规定严肃处理；对举报不实、给被举报单位和个人造成严重影响的，要及时澄清、消除影响。</w:t>
      </w:r>
    </w:p>
    <w:p w14:paraId="78A1B32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（二十）严厉打击严重违背科研诚信要求的行为。</w:t>
      </w:r>
      <w:r>
        <w:rPr>
          <w:rFonts w:hint="eastAsia" w:ascii="仿宋" w:hAnsi="仿宋" w:eastAsia="仿宋" w:cs="仿宋"/>
          <w:i w:val="0"/>
          <w:iCs w:val="0"/>
          <w:caps w:val="0"/>
          <w:color w:val="auto"/>
          <w:spacing w:val="0"/>
          <w:sz w:val="24"/>
          <w:szCs w:val="24"/>
          <w:shd w:val="clear" w:color="auto" w:fill="FFFFFF"/>
        </w:rPr>
        <w:t>坚持零容忍，保持对严重违背科研诚信要求行为严厉打击的高压态势，严肃责任追究。建立终身追究制度，依法依规对严重违背科研诚信要求行为实行终身追究，一经发现，随时调查处理。积极开展对严重违背科研诚信要求行为的刑事规制理论研究，推动立法、司法部门适时出台相应刑事制裁措施。</w:t>
      </w:r>
    </w:p>
    <w:p w14:paraId="08BAF61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相关行业主管部门或严重违背科研诚信要求责任人所在单位要区分不同情况，对责任人给予科研诚信诫勉谈话；取消项目立项资格，撤销已获资助项目或终止项目合同，追回科研项目经费；撤销获得的奖励、荣誉称号，追回奖金；依法开除学籍，撤销学位、教师资格，收回医师执业证书等；一定期限直至终身取消晋升职务职称、申报科技计划项目、担任评审评估专家、被提名为院士候选人等资格；依法依规解除劳动合同、聘用合同；终身禁止在政府举办的学校、医院、科研机构等从事教学、科研工作等处罚，以及记入科研诚信严重失信行为数据库或列入观察名单等其他处理。严重违背科研诚信要求责任人属于公职人员的，依法依规给予处分；属于党员的，依纪依规给予党纪处分。涉嫌存在诈骗、贪污科研经费等违法犯罪行为的，依法移交监察、司法机关处理。</w:t>
      </w:r>
    </w:p>
    <w:p w14:paraId="5530E41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对包庇、纵容甚至骗取各类财政资助项目或奖励的单位，有关主管部门要给予约谈主要负责人、停拨或核减经费、记入科研诚信严重失信行为数据库、移送司法机关等处理。</w:t>
      </w:r>
    </w:p>
    <w:p w14:paraId="72AF399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（二十一）开展联合惩戒。</w:t>
      </w:r>
      <w:r>
        <w:rPr>
          <w:rFonts w:hint="eastAsia" w:ascii="仿宋" w:hAnsi="仿宋" w:eastAsia="仿宋" w:cs="仿宋"/>
          <w:i w:val="0"/>
          <w:iCs w:val="0"/>
          <w:caps w:val="0"/>
          <w:color w:val="auto"/>
          <w:spacing w:val="0"/>
          <w:sz w:val="24"/>
          <w:szCs w:val="24"/>
          <w:shd w:val="clear" w:color="auto" w:fill="FFFFFF"/>
        </w:rPr>
        <w:t>加强科研诚信信息跨部门跨区域共享共用，依法依规对严重违背科研诚信要求责任人采取联合惩戒措施。推动各级各类科技计划统一处理规则，对相关处理结果互认。将科研诚信状况与学籍管理、学历学位授予、科研项目立项、专业技术职务评聘、岗位聘用、评选表彰、院士增选、人才基地评审等挂钩。推动在行政许可、公共采购、评先创优、金融支持、资质等级评定、纳税信用评价等工作中将科研诚信状况作为重要参考。</w:t>
      </w:r>
    </w:p>
    <w:p w14:paraId="3AE17E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七、加快推进科研诚信信息化建设</w:t>
      </w:r>
    </w:p>
    <w:p w14:paraId="2D6419E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（二十二）建立完善科研诚信信息系统。</w:t>
      </w:r>
      <w:r>
        <w:rPr>
          <w:rFonts w:hint="eastAsia" w:ascii="仿宋" w:hAnsi="仿宋" w:eastAsia="仿宋" w:cs="仿宋"/>
          <w:i w:val="0"/>
          <w:iCs w:val="0"/>
          <w:caps w:val="0"/>
          <w:color w:val="auto"/>
          <w:spacing w:val="0"/>
          <w:sz w:val="24"/>
          <w:szCs w:val="24"/>
          <w:shd w:val="clear" w:color="auto" w:fill="FFFFFF"/>
        </w:rPr>
        <w:t>科技部会同中国社科院建立完善覆盖全国的自然科学和哲学社会科学科研诚信信息系统，对科研人员、相关机构、组织等的科研诚信状况进行记录。研究拟订科学合理、适用不同类型科研活动和对象特点的科研诚信评价指标、方法模型，明确评价方式、周期、程序等内容。重点对参与科技计划（项目）组织管理或实施、科技统计等科技活动的项目承担人员、咨询评审专家，以及项目管理专业机构、项目承担单位、中介服务机构等相关责任主体开展诚信评价。</w:t>
      </w:r>
    </w:p>
    <w:p w14:paraId="00F1D50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（二十三）规范科研诚信信息管理。</w:t>
      </w:r>
      <w:r>
        <w:rPr>
          <w:rFonts w:hint="eastAsia" w:ascii="仿宋" w:hAnsi="仿宋" w:eastAsia="仿宋" w:cs="仿宋"/>
          <w:i w:val="0"/>
          <w:iCs w:val="0"/>
          <w:caps w:val="0"/>
          <w:color w:val="auto"/>
          <w:spacing w:val="0"/>
          <w:sz w:val="24"/>
          <w:szCs w:val="24"/>
          <w:shd w:val="clear" w:color="auto" w:fill="FFFFFF"/>
        </w:rPr>
        <w:t>建立健全科研诚信信息采集、记录、评价、应用等管理制度，明确实施主体、程序、要求。根据不同责任主体的特点，制定面向不同类型科技活动的科研诚信信息目录，明确信息类别和管理流程，规范信息采集的范围、内容、方式和信息应用等。</w:t>
      </w:r>
    </w:p>
    <w:p w14:paraId="05037B8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（二十四）加强科研诚信信息共享应用。</w:t>
      </w:r>
      <w:r>
        <w:rPr>
          <w:rFonts w:hint="eastAsia" w:ascii="仿宋" w:hAnsi="仿宋" w:eastAsia="仿宋" w:cs="仿宋"/>
          <w:i w:val="0"/>
          <w:iCs w:val="0"/>
          <w:caps w:val="0"/>
          <w:color w:val="auto"/>
          <w:spacing w:val="0"/>
          <w:sz w:val="24"/>
          <w:szCs w:val="24"/>
          <w:shd w:val="clear" w:color="auto" w:fill="FFFFFF"/>
        </w:rPr>
        <w:t>逐步推动科研诚信信息系统与全国信用信息共享平台、地方科研诚信信息系统互联互通，分阶段分权限实现信息共享，为实现跨部门跨地区联合惩戒提供支撑。</w:t>
      </w:r>
    </w:p>
    <w:p w14:paraId="69509A4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八、保障措施 </w:t>
      </w:r>
    </w:p>
    <w:p w14:paraId="2CB328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（二十五）加强党对科研诚信建设工作的领导。</w:t>
      </w:r>
      <w:r>
        <w:rPr>
          <w:rFonts w:hint="eastAsia" w:ascii="仿宋" w:hAnsi="仿宋" w:eastAsia="仿宋" w:cs="仿宋"/>
          <w:i w:val="0"/>
          <w:iCs w:val="0"/>
          <w:caps w:val="0"/>
          <w:color w:val="auto"/>
          <w:spacing w:val="0"/>
          <w:sz w:val="24"/>
          <w:szCs w:val="24"/>
          <w:shd w:val="clear" w:color="auto" w:fill="FFFFFF"/>
        </w:rPr>
        <w:t>各级党委（党组）要高度重视科研诚信建设，切实加强领导，明确任务，细化分工，扎实推进。有关部门、地方应整合现有科研保障措施，建立科研诚信建设目标责任制，明确任务分工，细化目标责任，明确完成时间。科技部要建立科研诚信建设情况督查和通报制度，对工作取得明显成效的地方、部门和机构进行表彰；对措施不得力、工作不落实的，予以通报批评，督促整改。</w:t>
      </w:r>
    </w:p>
    <w:p w14:paraId="743C769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（二十六）发挥社会监督和舆论引导作用。</w:t>
      </w:r>
      <w:r>
        <w:rPr>
          <w:rFonts w:hint="eastAsia" w:ascii="仿宋" w:hAnsi="仿宋" w:eastAsia="仿宋" w:cs="仿宋"/>
          <w:i w:val="0"/>
          <w:iCs w:val="0"/>
          <w:caps w:val="0"/>
          <w:color w:val="auto"/>
          <w:spacing w:val="0"/>
          <w:sz w:val="24"/>
          <w:szCs w:val="24"/>
          <w:shd w:val="clear" w:color="auto" w:fill="FFFFFF"/>
        </w:rPr>
        <w:t>充分发挥社会公众、新闻媒体等对科研诚信建设的监督作用。畅通举报渠道，鼓励对违背科研诚信要求的行为进行负责任实名举报。新闻媒体要加强对科研诚信正面引导。对社会舆论广泛关注的科研诚信事件，当事人所在单位和行业主管部门要及时采取措施调查处理，及时公布调查处理结果。</w:t>
      </w:r>
    </w:p>
    <w:p w14:paraId="4C1DC43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（二十七）加强监测评估。</w:t>
      </w:r>
      <w:r>
        <w:rPr>
          <w:rFonts w:hint="eastAsia" w:ascii="仿宋" w:hAnsi="仿宋" w:eastAsia="仿宋" w:cs="仿宋"/>
          <w:i w:val="0"/>
          <w:iCs w:val="0"/>
          <w:caps w:val="0"/>
          <w:color w:val="auto"/>
          <w:spacing w:val="0"/>
          <w:sz w:val="24"/>
          <w:szCs w:val="24"/>
          <w:shd w:val="clear" w:color="auto" w:fill="FFFFFF"/>
        </w:rPr>
        <w:t>开展科研诚信建设情况动态监测和第三方评估，监测和评估结果作为改进完善相关工作的重要基础以及科研事业单位绩效评价、企业享受政府资助等的重要依据。对重大科研诚信事件及时开展跟踪监测和分析。定期发布中国科研诚信状况报告。</w:t>
      </w:r>
    </w:p>
    <w:p w14:paraId="1B3826B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（二十八）积极开展国际交流合作。</w:t>
      </w:r>
      <w:r>
        <w:rPr>
          <w:rFonts w:hint="eastAsia" w:ascii="仿宋" w:hAnsi="仿宋" w:eastAsia="仿宋" w:cs="仿宋"/>
          <w:i w:val="0"/>
          <w:iCs w:val="0"/>
          <w:caps w:val="0"/>
          <w:color w:val="auto"/>
          <w:spacing w:val="0"/>
          <w:sz w:val="24"/>
          <w:szCs w:val="24"/>
          <w:shd w:val="clear" w:color="auto" w:fill="FFFFFF"/>
        </w:rPr>
        <w:t>积极开展与相关国家、国际组织等的交流合作，加强对科技发展带来的科研诚信建设新情况新问题研究，共同完善国际科研规范，有效应对跨国跨地区科研诚信案件。</w:t>
      </w:r>
    </w:p>
    <w:p w14:paraId="545F7C2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i w:val="0"/>
          <w:iCs w:val="0"/>
          <w:caps w:val="0"/>
          <w:color w:val="auto"/>
          <w:spacing w:val="0"/>
          <w:sz w:val="24"/>
          <w:szCs w:val="24"/>
          <w:shd w:val="clear" w:color="auto" w:fill="FFFFFF"/>
        </w:rPr>
      </w:pPr>
    </w:p>
    <w:p w14:paraId="217FBBA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b/>
          <w:bCs/>
          <w:i w:val="0"/>
          <w:iCs w:val="0"/>
          <w:caps w:val="0"/>
          <w:color w:val="auto"/>
          <w:spacing w:val="0"/>
          <w:sz w:val="36"/>
          <w:szCs w:val="36"/>
          <w:shd w:val="clear" w:color="auto" w:fill="FFFFFF"/>
        </w:rPr>
      </w:pPr>
      <w:r>
        <w:rPr>
          <w:rFonts w:hint="eastAsia" w:ascii="宋体" w:hAnsi="宋体" w:eastAsia="宋体" w:cs="宋体"/>
          <w:i w:val="0"/>
          <w:iCs w:val="0"/>
          <w:caps w:val="0"/>
          <w:color w:val="auto"/>
          <w:spacing w:val="0"/>
          <w:sz w:val="36"/>
          <w:szCs w:val="36"/>
          <w:shd w:val="clear" w:color="auto" w:fill="FFFFFF"/>
        </w:rPr>
        <w:br w:type="page"/>
      </w:r>
      <w:bookmarkStart w:id="9" w:name="_Toc24144"/>
      <w:bookmarkStart w:id="10" w:name="_Toc9089"/>
      <w:r>
        <w:rPr>
          <w:rFonts w:hint="eastAsia" w:ascii="宋体" w:hAnsi="宋体" w:eastAsia="宋体" w:cs="宋体"/>
          <w:b/>
          <w:bCs/>
          <w:i w:val="0"/>
          <w:iCs w:val="0"/>
          <w:caps w:val="0"/>
          <w:color w:val="auto"/>
          <w:spacing w:val="0"/>
          <w:sz w:val="36"/>
          <w:szCs w:val="36"/>
          <w:shd w:val="clear" w:color="auto" w:fill="FFFFFF"/>
        </w:rPr>
        <w:t>国务院办公厅关于改革完善中央财政科研经费管理的若干意见</w:t>
      </w:r>
      <w:bookmarkEnd w:id="9"/>
      <w:bookmarkEnd w:id="10"/>
    </w:p>
    <w:p w14:paraId="490D6C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国办发〔2021〕32号</w:t>
      </w:r>
    </w:p>
    <w:p w14:paraId="3B05FE5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各省、自治区、直辖市人民政府，国务院各部委、各直属机构：</w:t>
      </w:r>
    </w:p>
    <w:p w14:paraId="0ECFC46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党的十八大以来，党中央、国务院出台了《关于进一步完善中央财政科研项目资金管理等政策的若干意见</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关于优化科研管理提升科研绩效若干措施的通知》等一系列优化科研经费管理的政策文件和改革措施，有力地激发了科研人员的创造性和创新活力，促进了科技事业发展。但在科研经费管理方面仍然存在政策落实不到位、项目经费管理刚性偏大、经费拨付机制不完善、间接费用比例偏低、经费报销难等问题。为有效解决这些问题，更好贯彻落实党中央、国务院决策部署，进一步激励科研人员多出高质量科技成果、为实现高水平科技自立自强作出更大贡献，经国务院同意，现就改革完善中央财政科研经费管理提出如下意见：</w:t>
      </w:r>
    </w:p>
    <w:p w14:paraId="05E00CB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一、扩大科研项目经费管理自主权</w:t>
      </w:r>
    </w:p>
    <w:p w14:paraId="1DC1F95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（一）简化预算编制。</w:t>
      </w:r>
      <w:r>
        <w:rPr>
          <w:rFonts w:hint="eastAsia" w:ascii="仿宋" w:hAnsi="仿宋" w:eastAsia="仿宋" w:cs="仿宋"/>
          <w:i w:val="0"/>
          <w:iCs w:val="0"/>
          <w:caps w:val="0"/>
          <w:color w:val="auto"/>
          <w:spacing w:val="0"/>
          <w:sz w:val="24"/>
          <w:szCs w:val="24"/>
        </w:rPr>
        <w:t>进一步精简合并预算编制科目，按设备费、业务费、劳务费三大类编制直接费用预算。直接费用中除50万元以上的设备费外，其他费用只提供基本测算说明，不需要提供明细。计算类仪器设备和软件工具可在设备费科目列支。合并项目评审和预算评审，项目管理部门在项目评审时同步开展预算评审。预算评审工作重点是项目预算的目标相关性、政策相符性、经济合理性，不得将预算编制细致程度作为评审预算的因素。（项目管理部门负责落实）</w:t>
      </w:r>
    </w:p>
    <w:p w14:paraId="49E5C66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（二）下放预算调剂权。</w:t>
      </w:r>
      <w:r>
        <w:rPr>
          <w:rFonts w:hint="eastAsia" w:ascii="仿宋" w:hAnsi="仿宋" w:eastAsia="仿宋" w:cs="仿宋"/>
          <w:i w:val="0"/>
          <w:iCs w:val="0"/>
          <w:caps w:val="0"/>
          <w:color w:val="auto"/>
          <w:spacing w:val="0"/>
          <w:sz w:val="24"/>
          <w:szCs w:val="24"/>
        </w:rPr>
        <w:t>设备费预算调剂权全部下放给项目承担单位，不再由项目管理部门审批其预算调增。项目承担单位要统筹考虑现有设备配置情况、科研项目实际需求等，及时办理调剂手续。除设备费外的其他费用调剂权全部由项目承担单位下放给项目负责人，由项目负责人根据科研活动实际需要自主安排。（项目管理部门、项目承担单位负责落实）</w:t>
      </w:r>
    </w:p>
    <w:p w14:paraId="3AFCE14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（三）扩大经费包干制实施范围。</w:t>
      </w:r>
      <w:r>
        <w:rPr>
          <w:rFonts w:hint="eastAsia" w:ascii="仿宋" w:hAnsi="仿宋" w:eastAsia="仿宋" w:cs="仿宋"/>
          <w:i w:val="0"/>
          <w:iCs w:val="0"/>
          <w:caps w:val="0"/>
          <w:color w:val="auto"/>
          <w:spacing w:val="0"/>
          <w:sz w:val="24"/>
          <w:szCs w:val="24"/>
        </w:rPr>
        <w:t>在人才类和基础研究类科研项目中推行经费包干制，不再编制项目预算。项目负责人在承诺遵守科研伦理道德和作风学风诚信要求、经费全部用于与本项目研究工作相关支出的基础上，自主决定项目经费使用。鼓励有关部门和地方在从事基础性、前沿性、公益性研究的独立法人科研机构开展经费包干制试点。（项目管理部门、项目承担单位、财政部、单位主管部门负责落实）</w:t>
      </w:r>
    </w:p>
    <w:p w14:paraId="5B738B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二、完善科研项目经费拨付机制</w:t>
      </w:r>
    </w:p>
    <w:p w14:paraId="770199F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（四）合理确定经费拨付计划。</w:t>
      </w:r>
      <w:r>
        <w:rPr>
          <w:rFonts w:hint="eastAsia" w:ascii="仿宋" w:hAnsi="仿宋" w:eastAsia="仿宋" w:cs="仿宋"/>
          <w:i w:val="0"/>
          <w:iCs w:val="0"/>
          <w:caps w:val="0"/>
          <w:color w:val="auto"/>
          <w:spacing w:val="0"/>
          <w:sz w:val="24"/>
          <w:szCs w:val="24"/>
        </w:rPr>
        <w:t>项目管理部门要根据不同类型科研项目特点、研究进度、资金需求等，合理制定经费拨付计划并及时拨付资金。首笔资金拨付比例要充分尊重项目负责人意见，切实保障科研活动需要。（项目管理部门负责落实）</w:t>
      </w:r>
    </w:p>
    <w:p w14:paraId="046C409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（五）加快经费拨付进度。</w:t>
      </w:r>
      <w:r>
        <w:rPr>
          <w:rFonts w:hint="eastAsia" w:ascii="仿宋" w:hAnsi="仿宋" w:eastAsia="仿宋" w:cs="仿宋"/>
          <w:i w:val="0"/>
          <w:iCs w:val="0"/>
          <w:caps w:val="0"/>
          <w:color w:val="auto"/>
          <w:spacing w:val="0"/>
          <w:sz w:val="24"/>
          <w:szCs w:val="24"/>
        </w:rPr>
        <w:t>财政部、项目管理部门可在部门预算批复前预拨科研经费。项目管理部门要加强经费拨付与项目立项的衔接，在项目任务书签订后30日内，将经费拨付至项目承担单位。项目牵头单位要根据项目负责人意见，及时将经费拨付至项目参与单位。（财政部、项目管理部门、项目承担单位负责落实）</w:t>
      </w:r>
    </w:p>
    <w:p w14:paraId="31FF72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（六）改进结余资金管理。</w:t>
      </w:r>
      <w:r>
        <w:rPr>
          <w:rFonts w:hint="eastAsia" w:ascii="仿宋" w:hAnsi="仿宋" w:eastAsia="仿宋" w:cs="仿宋"/>
          <w:i w:val="0"/>
          <w:iCs w:val="0"/>
          <w:caps w:val="0"/>
          <w:color w:val="auto"/>
          <w:spacing w:val="0"/>
          <w:sz w:val="24"/>
          <w:szCs w:val="24"/>
        </w:rPr>
        <w:t>项目完成任务目标并通过综合绩效评价后，结余资金留归项目承担单位使用。项目承担单位要将结余资金统筹安排用于科研活动直接支出，优先考虑原项目团队科研需求，并加强结余资金管理，健全结余资金盘活机制，加快资金使用进度。（项目管理部门、项目承担单位负责落实）</w:t>
      </w:r>
    </w:p>
    <w:p w14:paraId="248C8D4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三、加大科研人员激励力度</w:t>
      </w:r>
    </w:p>
    <w:p w14:paraId="38CADAE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（七）提高间接费用比例。</w:t>
      </w:r>
      <w:r>
        <w:rPr>
          <w:rFonts w:hint="eastAsia" w:ascii="仿宋" w:hAnsi="仿宋" w:eastAsia="仿宋" w:cs="仿宋"/>
          <w:i w:val="0"/>
          <w:iCs w:val="0"/>
          <w:caps w:val="0"/>
          <w:color w:val="auto"/>
          <w:spacing w:val="0"/>
          <w:sz w:val="24"/>
          <w:szCs w:val="24"/>
        </w:rPr>
        <w:t>间接费用按照直接费用扣除设备购置费后的一定比例核定，由项目承担单位统筹安排使用。其中，500万元以下的部分，间接费用比例为不超过30%，500万元至1000万元的部分为不超过25%，1000万元以上的部分为不超过20%；对数学等纯理论基础研究项目，间接费用比例进一步提高到不超过60%。项目承担单位可将间接费用全部用于绩效支出，并向创新绩效突出的团队和个人倾斜。（项目管理部门、项目承担单位负责落实）</w:t>
      </w:r>
    </w:p>
    <w:p w14:paraId="40DE500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（八）扩大稳定支持科研经费提取奖励经费试点范围。</w:t>
      </w:r>
      <w:r>
        <w:rPr>
          <w:rFonts w:hint="eastAsia" w:ascii="仿宋" w:hAnsi="仿宋" w:eastAsia="仿宋" w:cs="仿宋"/>
          <w:i w:val="0"/>
          <w:iCs w:val="0"/>
          <w:caps w:val="0"/>
          <w:color w:val="auto"/>
          <w:spacing w:val="0"/>
          <w:sz w:val="24"/>
          <w:szCs w:val="24"/>
        </w:rPr>
        <w:t>将稳定支持科研经费提取奖励经费试点范围扩大到所有中央级科研院所。允许中央级科研院所从基本科研业务费、中科院战略性先导科技专项经费、有关科研院所创新工程等稳定支持科研经费中提取不超过20%作为奖励经费，由单位探索完善科研项目资金激励引导机制，激发科研人员创新活力。奖励经费的使用范围和标准由试点单位自主决定，在单位内部公示。（中央级科研院所负责落实）</w:t>
      </w:r>
    </w:p>
    <w:p w14:paraId="4E682BA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（九）扩大劳务费开支范围。</w:t>
      </w:r>
      <w:r>
        <w:rPr>
          <w:rFonts w:hint="eastAsia" w:ascii="仿宋" w:hAnsi="仿宋" w:eastAsia="仿宋" w:cs="仿宋"/>
          <w:i w:val="0"/>
          <w:iCs w:val="0"/>
          <w:caps w:val="0"/>
          <w:color w:val="auto"/>
          <w:spacing w:val="0"/>
          <w:sz w:val="24"/>
          <w:szCs w:val="24"/>
        </w:rPr>
        <w:t>项目聘用人员的劳务费开支标准，参照当地科学研究和技术服务业从业人员平均工资水平，根据其在项目研究中承担的工作任务确定，其由单位缴纳的社会保险补助、住房公积金等纳入劳务费科目列支。（项目承担单位、项目管理部门负责落实）</w:t>
      </w:r>
    </w:p>
    <w:p w14:paraId="0C138E2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（十）合理核定绩效工资总量。</w:t>
      </w:r>
      <w:r>
        <w:rPr>
          <w:rFonts w:hint="eastAsia" w:ascii="仿宋" w:hAnsi="仿宋" w:eastAsia="仿宋" w:cs="仿宋"/>
          <w:i w:val="0"/>
          <w:iCs w:val="0"/>
          <w:caps w:val="0"/>
          <w:color w:val="auto"/>
          <w:spacing w:val="0"/>
          <w:sz w:val="24"/>
          <w:szCs w:val="24"/>
        </w:rPr>
        <w:t>中央高校、科研院所、企业结合本单位发展阶段、类型定位、承担任务、人才结构、所在地区、现有绩效工资实际发放水平（主要依据上年度事业单位工资统计年报数据确定）、财务状况特别是财政科研项目可用于支出人员绩效的间接费用等实际情况，向主管部门申报动态调整绩效工资水平，主管部门综合考虑激发科技创新活力、保障基础研究人员稳定工资收入、调控不同单位（岗位、学科）收入差距等因素审批后报人力资源社会保障、财政部门备案。分配绩效工资时，要向承担国家科研任务较多、成效突出的科研人员倾斜。借鉴承担国家关键领域核心技术攻关任务科研人员年薪制的经验，探索对急需紧缺、业内认可、业绩突出的极少数高层次人才实行年薪制。（人力资源社会保障部、科技部、财政部、国务院国资委、单位主管部门负责落实）</w:t>
      </w:r>
    </w:p>
    <w:p w14:paraId="331C02A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（十一）加大科技成果转化激励力度。</w:t>
      </w:r>
      <w:r>
        <w:rPr>
          <w:rFonts w:hint="eastAsia" w:ascii="仿宋" w:hAnsi="仿宋" w:eastAsia="仿宋" w:cs="仿宋"/>
          <w:i w:val="0"/>
          <w:iCs w:val="0"/>
          <w:caps w:val="0"/>
          <w:color w:val="auto"/>
          <w:spacing w:val="0"/>
          <w:sz w:val="24"/>
          <w:szCs w:val="24"/>
        </w:rPr>
        <w:t>各单位要落实《中华人民共和国促进科技成果转化法》等相关规定，对持有的科技成果，通过协议定价、在技术交易市场挂牌交易、拍卖等市场化方式进行转化。科技成果转化所获收益可按照法律规定，对职务科技成果完成人和为科技成果转化作出重要贡献的人员给予奖励和报酬，剩余部分留归项目承担单位用于科技研发与成果转化等相关工作，科技成果转化收益具体分配方式和比例在充分听取本单位科研人员意见基础上进行约定。科技成果转化现金奖励计入所在单位绩效工资总量，但不受核定的绩效工资总量限制，不作为核定下一年度绩效工资总量的基数。（科技部、人力资源社会保障部、财政部等有关部门负责落实）</w:t>
      </w:r>
    </w:p>
    <w:p w14:paraId="3FFFE79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四、减轻科研人员事务性负担</w:t>
      </w:r>
    </w:p>
    <w:p w14:paraId="71CB554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（十二）全面落实科研财务助理制度。</w:t>
      </w:r>
      <w:r>
        <w:rPr>
          <w:rFonts w:hint="eastAsia" w:ascii="仿宋" w:hAnsi="仿宋" w:eastAsia="仿宋" w:cs="仿宋"/>
          <w:i w:val="0"/>
          <w:iCs w:val="0"/>
          <w:caps w:val="0"/>
          <w:color w:val="auto"/>
          <w:spacing w:val="0"/>
          <w:sz w:val="24"/>
          <w:szCs w:val="24"/>
        </w:rPr>
        <w:t>项目承担单位要确保每个项目配有相对固定的科研财务助理，为科研人员在预算编制、经费报销等方面提供专业化服务。科研财务助理所需人力成本费用（含社会保险补助、住房公积金），可由项目承担单位根据情况通过科研项目经费等渠道统筹解决。（项目承担单位负责落实）</w:t>
      </w:r>
    </w:p>
    <w:p w14:paraId="0D00AE5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（十三）改进财务报销管理方式。</w:t>
      </w:r>
      <w:r>
        <w:rPr>
          <w:rFonts w:hint="eastAsia" w:ascii="仿宋" w:hAnsi="仿宋" w:eastAsia="仿宋" w:cs="仿宋"/>
          <w:i w:val="0"/>
          <w:iCs w:val="0"/>
          <w:caps w:val="0"/>
          <w:color w:val="auto"/>
          <w:spacing w:val="0"/>
          <w:sz w:val="24"/>
          <w:szCs w:val="24"/>
        </w:rPr>
        <w:t>项目承担单位因科研活动实际需要，邀请国内外专家、学者和有关人员参加由其主办的会议等，对确需负担的城市间交通费、国际旅费，可在会议费等费用中报销。允许项目承担单位对国内差旅费中的伙食补助费、市内交通费和难以取得发票的住宿费实行包干制。（项目承担单位负责落实）</w:t>
      </w:r>
    </w:p>
    <w:p w14:paraId="490AF43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（十四）推进科研经费无纸化报销试点。</w:t>
      </w:r>
      <w:r>
        <w:rPr>
          <w:rFonts w:hint="eastAsia" w:ascii="仿宋" w:hAnsi="仿宋" w:eastAsia="仿宋" w:cs="仿宋"/>
          <w:i w:val="0"/>
          <w:iCs w:val="0"/>
          <w:caps w:val="0"/>
          <w:color w:val="auto"/>
          <w:spacing w:val="0"/>
          <w:sz w:val="24"/>
          <w:szCs w:val="24"/>
        </w:rPr>
        <w:t>选择部分电子票据接收、入账、归档处理工作量比较大的中央高校、科研院所、企业，纳入电子入账凭证会计数据标准推广范围，推动科研经费报销数字化、无纸化。（财政部、税务总局、单位主管部门等负责落实）</w:t>
      </w:r>
    </w:p>
    <w:p w14:paraId="0F00F72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（十五）简化科研项目验收结题财务管理。</w:t>
      </w:r>
      <w:r>
        <w:rPr>
          <w:rFonts w:hint="eastAsia" w:ascii="仿宋" w:hAnsi="仿宋" w:eastAsia="仿宋" w:cs="仿宋"/>
          <w:i w:val="0"/>
          <w:iCs w:val="0"/>
          <w:caps w:val="0"/>
          <w:color w:val="auto"/>
          <w:spacing w:val="0"/>
          <w:sz w:val="24"/>
          <w:szCs w:val="24"/>
        </w:rPr>
        <w:t>合并财务验收和技术验收，在项目实施期末实行一次性综合绩效评价。完善项目验收结题评价操作指南，细化明确预算调剂、设备管理、人员费用等财务、会计、审计方面具体要求，避免有关机构和人员在项目验收和检查中理解执行政策出现偏差。选择部分创新能力和潜力突出、创新绩效显著、科研诚信状况良好的中央高校、科研院所、企业作为试点单位，由其出具科研项目经费决算报表作为结题依据，取消科研项目结题财务审计。试点单位对经费决算报表内容的真实性、完整性、准确性负责，项目管理部门适时组织抽查。（科技部、财政部、项目管理部门负责落实）</w:t>
      </w:r>
    </w:p>
    <w:p w14:paraId="6E5EEA0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（十六）优化科研仪器设备采购。</w:t>
      </w:r>
      <w:r>
        <w:rPr>
          <w:rFonts w:hint="eastAsia" w:ascii="仿宋" w:hAnsi="仿宋" w:eastAsia="仿宋" w:cs="仿宋"/>
          <w:i w:val="0"/>
          <w:iCs w:val="0"/>
          <w:caps w:val="0"/>
          <w:color w:val="auto"/>
          <w:spacing w:val="0"/>
          <w:sz w:val="24"/>
          <w:szCs w:val="24"/>
        </w:rPr>
        <w:t>中央高校、科研院所、企业要优化和完善内部管理规定，简化科研仪器设备采购流程，对科研急需的设备和耗材采用特事特办、随到随办的采购机制，可不进行招标投标程序。项目承担单位依法向财政部申请变更政府采购方式的，财政部实行限时办结制度，对符合要求的申请项目，原则上自收到变更申请之日起5个工作日内办结。有关部门要研究推动政府采购、招标投标等有关法律法规修订工作，进一步明确除外条款。（单位主管部门、项目承担单位、司法部、财政部负责落实）</w:t>
      </w:r>
    </w:p>
    <w:p w14:paraId="0A1D8B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（十七）改进科研人员因公出国（境）管理方式。</w:t>
      </w:r>
      <w:r>
        <w:rPr>
          <w:rFonts w:hint="eastAsia" w:ascii="仿宋" w:hAnsi="仿宋" w:eastAsia="仿宋" w:cs="仿宋"/>
          <w:i w:val="0"/>
          <w:iCs w:val="0"/>
          <w:caps w:val="0"/>
          <w:color w:val="auto"/>
          <w:spacing w:val="0"/>
          <w:sz w:val="24"/>
          <w:szCs w:val="24"/>
        </w:rPr>
        <w:t>对科研人员因公出国（境）开展国际合作与交流的管理应与行政人员有所区别，对为完成科研项目任务目标、从科研经费中列支费用的国际合作与交流按业务类别单独管理，根据需要开展工作。从科研经费中列支的国际合作与交流费用不纳入“三公”经费统计范围，不受零增长要求限制。（单位主管部门、财政部负责落实）</w:t>
      </w:r>
    </w:p>
    <w:p w14:paraId="74A30E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五、创新财政科研经费投入与支持方式</w:t>
      </w:r>
    </w:p>
    <w:p w14:paraId="02C5774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（十八）拓展财政科研经费投入渠道。</w:t>
      </w:r>
      <w:r>
        <w:rPr>
          <w:rFonts w:hint="eastAsia" w:ascii="仿宋" w:hAnsi="仿宋" w:eastAsia="仿宋" w:cs="仿宋"/>
          <w:i w:val="0"/>
          <w:iCs w:val="0"/>
          <w:caps w:val="0"/>
          <w:color w:val="auto"/>
          <w:spacing w:val="0"/>
          <w:sz w:val="24"/>
          <w:szCs w:val="24"/>
        </w:rPr>
        <w:t>发挥财政经费的杠杆效应和导向作用，引导企业参与，发挥金融资金作用，吸引民间资本支持科技创新创业。优化科技创新类引导基金使用，推动更多具有重大价值的科技成果转化应用。拓宽基础研究经费投入渠道，促进基础研究与需求导向良性互动。（财政部、科技部、人民银行、银保监会、证监会等负责落实）</w:t>
      </w:r>
    </w:p>
    <w:p w14:paraId="7F6172E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（十九）开展顶尖领衔科学家支持方式试点。</w:t>
      </w:r>
      <w:r>
        <w:rPr>
          <w:rFonts w:hint="eastAsia" w:ascii="仿宋" w:hAnsi="仿宋" w:eastAsia="仿宋" w:cs="仿宋"/>
          <w:i w:val="0"/>
          <w:iCs w:val="0"/>
          <w:caps w:val="0"/>
          <w:color w:val="auto"/>
          <w:spacing w:val="0"/>
          <w:sz w:val="24"/>
          <w:szCs w:val="24"/>
        </w:rPr>
        <w:t>围绕国家重大战略需求和前沿科技领域，遴选全球顶尖的领衔科学家，给予持续稳定的科研经费支持，在确定的重点方向、重点领域、重点任务范围内，由领衔科学家自主确定研究课题，自主选聘科研团队，自主安排科研经费使用；3至5年后采取第三方评估、国际同行评议等方式，对领衔科学家及其团队的研究质量、原创价值、实际贡献，以及聘用领衔科学家及其团队的单位服务保障措施落实情况等进行绩效评价，形成可复制可推广的改革经验。（项目管理部门、项目承担单位负责落实）</w:t>
      </w:r>
    </w:p>
    <w:p w14:paraId="3AA2E42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（二十）支持新型研发机构实行“预算+负面清单”管理模式。</w:t>
      </w:r>
      <w:r>
        <w:rPr>
          <w:rFonts w:hint="eastAsia" w:ascii="仿宋" w:hAnsi="仿宋" w:eastAsia="仿宋" w:cs="仿宋"/>
          <w:i w:val="0"/>
          <w:iCs w:val="0"/>
          <w:caps w:val="0"/>
          <w:color w:val="auto"/>
          <w:spacing w:val="0"/>
          <w:sz w:val="24"/>
          <w:szCs w:val="24"/>
        </w:rPr>
        <w:t>鼓励地方对新型研发机构采用与国际接轨的治理结构和市场化运行机制，实行理事会领导下的院（所）长负责制。创新财政科研经费支持方式，给予稳定资金支持，探索实行负面清单管理，赋予更大经费使用自主权。组织开展绩效评价，围绕科研投入、创新产出质量、成果转化、原创价值、实际贡献、人才集聚和培养等方面进行评估。除特殊规定外，财政资金支持产生的科技成果及知识产权由新型研发机构依法取得、自主决定转化及推广应用。（科技部、财政部负责指导）</w:t>
      </w:r>
    </w:p>
    <w:p w14:paraId="6ABBAD1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六、改进科研绩效管理和监督检查</w:t>
      </w:r>
    </w:p>
    <w:p w14:paraId="0CD70EC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（二十一）健全科研绩效管理机制。</w:t>
      </w:r>
      <w:r>
        <w:rPr>
          <w:rFonts w:hint="eastAsia" w:ascii="仿宋" w:hAnsi="仿宋" w:eastAsia="仿宋" w:cs="仿宋"/>
          <w:i w:val="0"/>
          <w:iCs w:val="0"/>
          <w:caps w:val="0"/>
          <w:color w:val="auto"/>
          <w:spacing w:val="0"/>
          <w:sz w:val="24"/>
          <w:szCs w:val="24"/>
        </w:rPr>
        <w:t>项目管理部门要进一步强化绩效导向，从重过程向重结果转变，加强分类绩效评价，对自由探索型、任务导向型等不同类型科研项目，健全差异化的绩效评价指标体系；强化绩效评价结果运用，将绩效评价结果作为项目调整、后续支持的重要依据。项目承担单位要切实加强绩效管理，引导科研资源向优秀人才和团队倾斜，提高科研经费使用效益。（项目管理部门、项目承担单位负责落实）</w:t>
      </w:r>
    </w:p>
    <w:p w14:paraId="12B0E9E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（二十二）强化科研项目经费监督检查。</w:t>
      </w:r>
      <w:r>
        <w:rPr>
          <w:rFonts w:hint="eastAsia" w:ascii="仿宋" w:hAnsi="仿宋" w:eastAsia="仿宋" w:cs="仿宋"/>
          <w:i w:val="0"/>
          <w:iCs w:val="0"/>
          <w:caps w:val="0"/>
          <w:color w:val="auto"/>
          <w:spacing w:val="0"/>
          <w:sz w:val="24"/>
          <w:szCs w:val="24"/>
        </w:rPr>
        <w:t>加强审计监督、财会监督与日常监督的贯通协调，增强监督合力，严肃查处违纪违规问题。加强事中事后监管，创新监督检查方式，实行随机抽查、检查，推进监督检查数据汇交共享和结果互认。减少过程检查，充分利用大数据等信息技术手段，提高监督检查效率。强化项目承担单位法人责任，项目承担单位要动态监管经费使用并实时预警提醒，确保经费合理规范使用；对项目承担单位和科研人员在科研经费管理使用过程中出现的失信情况，纳入信用记录管理，对严重失信行为实行追责和惩戒。探索制定相关负面清单，明确科研项目经费使用禁止性行为，有关部门要根据法律法规和负面清单进行检查、评审、验收、审计，对尽职无过错科研人员免予问责。（审计署、财政部、项目管理部门、单位主管部门负责落实）</w:t>
      </w:r>
    </w:p>
    <w:p w14:paraId="486F7EA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七、组织实施</w:t>
      </w:r>
    </w:p>
    <w:p w14:paraId="70EBA88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（二十三）及时清理修改相关规定。</w:t>
      </w:r>
      <w:r>
        <w:rPr>
          <w:rFonts w:hint="eastAsia" w:ascii="仿宋" w:hAnsi="仿宋" w:eastAsia="仿宋" w:cs="仿宋"/>
          <w:i w:val="0"/>
          <w:iCs w:val="0"/>
          <w:caps w:val="0"/>
          <w:color w:val="auto"/>
          <w:spacing w:val="0"/>
          <w:sz w:val="24"/>
          <w:szCs w:val="24"/>
        </w:rPr>
        <w:t>有关部门要聚焦科研经费管理相关政策和改革举措落地“最后一公里”，加快清理修改与党中央、国务院有关文件精神不符的部门规定和办法，科技主管部门要牵头做好督促落实工作。项目承担单位要落实好科研项目实施和科研经费管理使用的主体责任，严格按照国家有关政策规定和权责一致的要求，强化自我约束和自我规范，及时完善内部管理制度，确保科研自主权接得住、管得好。（有关部门、项目承担单位负责落实）</w:t>
      </w:r>
    </w:p>
    <w:p w14:paraId="6297CBA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（二十四）加大政策宣传培训力度。</w:t>
      </w:r>
      <w:r>
        <w:rPr>
          <w:rFonts w:hint="eastAsia" w:ascii="仿宋" w:hAnsi="仿宋" w:eastAsia="仿宋" w:cs="仿宋"/>
          <w:i w:val="0"/>
          <w:iCs w:val="0"/>
          <w:caps w:val="0"/>
          <w:color w:val="auto"/>
          <w:spacing w:val="0"/>
          <w:sz w:val="24"/>
          <w:szCs w:val="24"/>
        </w:rPr>
        <w:t>有关部门和单位要通过门户网站、新媒体等多种渠道以及开设专栏等多种方式，加强中央财政科研经费管理相关政策宣传解读，提高社会知晓度。同时，加大对科研人员、财务人员、科研财务助理、审计人员等的专题培训力度，不断提高经办服务能力水平。（科技部、财政部会同有关部门负责落实）</w:t>
      </w:r>
    </w:p>
    <w:p w14:paraId="0E0A32E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（二十五）强化政策落实督促指导。</w:t>
      </w:r>
      <w:r>
        <w:rPr>
          <w:rFonts w:hint="eastAsia" w:ascii="仿宋" w:hAnsi="仿宋" w:eastAsia="仿宋" w:cs="仿宋"/>
          <w:i w:val="0"/>
          <w:iCs w:val="0"/>
          <w:caps w:val="0"/>
          <w:color w:val="auto"/>
          <w:spacing w:val="0"/>
          <w:sz w:val="24"/>
          <w:szCs w:val="24"/>
        </w:rPr>
        <w:t>有关部门要加快职能转变，提高服务意识，加强跟踪指导，适时组织开展对项目承担单位科研经费管理政策落实情况的检查，及时发现并协调解决有关问题，推动改革落地见效，国务院办公厅要加强督查。要适时对有关试点政策举措进行总结评估，及时总结推广行之有效的经验和做法。（财政部、科技部会同有关部门负责落实）</w:t>
      </w:r>
    </w:p>
    <w:p w14:paraId="4198160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财政部、中央级社科类科研项目主管部门要结合社会科学研究的规律和特点，参照本意见尽快修订中央级社科类科研项目资金管理办法。</w:t>
      </w:r>
    </w:p>
    <w:p w14:paraId="7428C61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各地区要参照本意见精神，结合实际，改革完善本地区财政科研经费管理。</w:t>
      </w:r>
    </w:p>
    <w:p w14:paraId="4017CD8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仿宋" w:hAnsi="仿宋" w:eastAsia="仿宋" w:cs="仿宋"/>
          <w:i w:val="0"/>
          <w:iCs w:val="0"/>
          <w:caps w:val="0"/>
          <w:color w:val="auto"/>
          <w:spacing w:val="0"/>
          <w:sz w:val="24"/>
          <w:szCs w:val="24"/>
        </w:rPr>
      </w:pPr>
    </w:p>
    <w:p w14:paraId="17102A0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仿宋" w:hAnsi="仿宋" w:eastAsia="仿宋" w:cs="仿宋"/>
          <w:i w:val="0"/>
          <w:iCs w:val="0"/>
          <w:caps w:val="0"/>
          <w:color w:val="auto"/>
          <w:spacing w:val="0"/>
          <w:sz w:val="24"/>
          <w:szCs w:val="24"/>
        </w:rPr>
      </w:pPr>
    </w:p>
    <w:p w14:paraId="66AE413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国务院办公厅</w:t>
      </w:r>
    </w:p>
    <w:p w14:paraId="5174823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2021年8月5日</w:t>
      </w:r>
    </w:p>
    <w:p w14:paraId="3B15E3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仿宋_GB2312" w:eastAsia="仿宋_GB2312"/>
          <w:b/>
          <w:color w:val="auto"/>
          <w:sz w:val="24"/>
          <w:szCs w:val="24"/>
        </w:rPr>
      </w:pPr>
      <w:r>
        <w:rPr>
          <w:rStyle w:val="14"/>
          <w:rFonts w:hint="eastAsia" w:ascii="黑体" w:hAnsi="黑体" w:eastAsia="黑体" w:cs="黑体"/>
          <w:b/>
          <w:i w:val="0"/>
          <w:iCs w:val="0"/>
          <w:caps w:val="0"/>
          <w:color w:val="auto"/>
          <w:spacing w:val="0"/>
          <w:sz w:val="36"/>
          <w:szCs w:val="36"/>
          <w:shd w:val="clear" w:color="auto" w:fill="FFFFFF"/>
          <w:lang w:val="en-US" w:eastAsia="zh-CN"/>
        </w:rPr>
        <w:br w:type="page"/>
      </w:r>
      <w:bookmarkStart w:id="11" w:name="_Toc17390"/>
      <w:bookmarkStart w:id="12" w:name="_Toc2126"/>
      <w:r>
        <w:rPr>
          <w:rFonts w:hint="eastAsia" w:ascii="宋体" w:hAnsi="宋体" w:eastAsia="宋体" w:cs="宋体"/>
          <w:b/>
          <w:color w:val="auto"/>
          <w:sz w:val="36"/>
          <w:szCs w:val="36"/>
        </w:rPr>
        <w:t>高等学校科学研究优秀成果奖（科学技术</w:t>
      </w:r>
      <w:r>
        <w:rPr>
          <w:rFonts w:hint="eastAsia" w:ascii="宋体" w:hAnsi="宋体" w:cs="宋体"/>
          <w:b/>
          <w:color w:val="auto"/>
          <w:sz w:val="36"/>
          <w:szCs w:val="36"/>
          <w:lang w:eastAsia="zh-CN"/>
        </w:rPr>
        <w:t>）</w:t>
      </w:r>
      <w:r>
        <w:rPr>
          <w:rFonts w:hint="eastAsia" w:ascii="宋体" w:hAnsi="宋体" w:eastAsia="宋体" w:cs="宋体"/>
          <w:b/>
          <w:color w:val="auto"/>
          <w:sz w:val="36"/>
          <w:szCs w:val="36"/>
        </w:rPr>
        <w:t>奖</w:t>
      </w:r>
      <w:r>
        <w:rPr>
          <w:rFonts w:hint="eastAsia" w:ascii="宋体" w:hAnsi="宋体" w:eastAsia="宋体" w:cs="宋体"/>
          <w:b/>
          <w:bCs/>
          <w:color w:val="auto"/>
          <w:sz w:val="36"/>
          <w:szCs w:val="36"/>
        </w:rPr>
        <w:t>励办法</w:t>
      </w:r>
      <w:bookmarkEnd w:id="11"/>
      <w:bookmarkEnd w:id="12"/>
    </w:p>
    <w:p w14:paraId="70E83F87">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仿宋_GB2312" w:eastAsia="仿宋_GB2312"/>
          <w:b/>
          <w:color w:val="auto"/>
          <w:sz w:val="24"/>
          <w:szCs w:val="24"/>
        </w:rPr>
      </w:pPr>
      <w:r>
        <w:rPr>
          <w:rFonts w:hint="eastAsia" w:ascii="黑体" w:eastAsia="黑体"/>
          <w:b/>
          <w:color w:val="auto"/>
          <w:sz w:val="24"/>
          <w:szCs w:val="24"/>
        </w:rPr>
        <w:t>第一章</w:t>
      </w:r>
      <w:r>
        <w:rPr>
          <w:rFonts w:hint="eastAsia" w:ascii="黑体" w:eastAsia="黑体"/>
          <w:b/>
          <w:color w:val="auto"/>
          <w:sz w:val="24"/>
          <w:szCs w:val="24"/>
          <w:lang w:val="en-US" w:eastAsia="zh-CN"/>
        </w:rPr>
        <w:t xml:space="preserve"> </w:t>
      </w:r>
      <w:r>
        <w:rPr>
          <w:rFonts w:hint="eastAsia" w:ascii="黑体" w:eastAsia="黑体"/>
          <w:b/>
          <w:color w:val="auto"/>
          <w:sz w:val="24"/>
          <w:szCs w:val="24"/>
        </w:rPr>
        <w:t>总则</w:t>
      </w:r>
    </w:p>
    <w:p w14:paraId="5901265C">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第一条</w:t>
      </w:r>
      <w:r>
        <w:rPr>
          <w:rFonts w:hint="eastAsia" w:ascii="仿宋" w:hAnsi="仿宋" w:eastAsia="仿宋" w:cs="仿宋"/>
          <w:b w:val="0"/>
          <w:bCs/>
          <w:color w:val="auto"/>
          <w:sz w:val="24"/>
          <w:szCs w:val="24"/>
        </w:rPr>
        <w:t xml:space="preserve"> 为了调动高等学校广大教师和科技工作者、科研组织进行科技创新、自主创新和推动科技进步的积极性，加速我国教育和科学技术事业的发展，根据《国家科学技术奖励条例》，结合高等学校实际情况，制定本办法。 </w:t>
      </w:r>
    </w:p>
    <w:p w14:paraId="37230F4C">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第二条</w:t>
      </w:r>
      <w:r>
        <w:rPr>
          <w:rFonts w:hint="eastAsia" w:ascii="仿宋" w:hAnsi="仿宋" w:eastAsia="仿宋" w:cs="仿宋"/>
          <w:b w:val="0"/>
          <w:bCs/>
          <w:color w:val="auto"/>
          <w:sz w:val="24"/>
          <w:szCs w:val="24"/>
        </w:rPr>
        <w:t xml:space="preserve"> 高等学校科学研究优秀成果奖（科学技术）用以鼓励在推动科学技术进步中做出突出贡献的高等学校的教师、科技工作者和科研组织，授予我国公民和组织，并对同一项目授奖的公民、组织按照贡献大小排序。高等学校科学研究优秀成果奖（科学技术）包括下列奖项： </w:t>
      </w:r>
    </w:p>
    <w:p w14:paraId="366795E8">
      <w:pPr>
        <w:keepNext w:val="0"/>
        <w:keepLines w:val="0"/>
        <w:pageBreakBefore w:val="0"/>
        <w:widowControl w:val="0"/>
        <w:numPr>
          <w:ilvl w:val="0"/>
          <w:numId w:val="1"/>
        </w:numPr>
        <w:kinsoku/>
        <w:overflowPunct/>
        <w:topLinePunct w:val="0"/>
        <w:autoSpaceDE/>
        <w:autoSpaceDN/>
        <w:bidi w:val="0"/>
        <w:adjustRightInd/>
        <w:snapToGrid/>
        <w:spacing w:line="240" w:lineRule="auto"/>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高等学校科学研究优秀成果奖自然科学奖；</w:t>
      </w:r>
    </w:p>
    <w:p w14:paraId="03C55D18">
      <w:pPr>
        <w:keepNext w:val="0"/>
        <w:keepLines w:val="0"/>
        <w:pageBreakBefore w:val="0"/>
        <w:widowControl w:val="0"/>
        <w:numPr>
          <w:ilvl w:val="0"/>
          <w:numId w:val="1"/>
        </w:numPr>
        <w:kinsoku/>
        <w:overflowPunct/>
        <w:topLinePunct w:val="0"/>
        <w:autoSpaceDE/>
        <w:autoSpaceDN/>
        <w:bidi w:val="0"/>
        <w:adjustRightInd/>
        <w:snapToGrid/>
        <w:spacing w:line="240" w:lineRule="auto"/>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高等学校科学研究优秀成果奖技术发明奖；</w:t>
      </w:r>
    </w:p>
    <w:p w14:paraId="070C4DD8">
      <w:pPr>
        <w:keepNext w:val="0"/>
        <w:keepLines w:val="0"/>
        <w:pageBreakBefore w:val="0"/>
        <w:widowControl w:val="0"/>
        <w:numPr>
          <w:ilvl w:val="0"/>
          <w:numId w:val="1"/>
        </w:numPr>
        <w:kinsoku/>
        <w:overflowPunct/>
        <w:topLinePunct w:val="0"/>
        <w:autoSpaceDE/>
        <w:autoSpaceDN/>
        <w:bidi w:val="0"/>
        <w:adjustRightInd/>
        <w:snapToGrid/>
        <w:spacing w:line="240" w:lineRule="auto"/>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高等学校科学研究优秀成果奖科学技术进步奖；</w:t>
      </w:r>
    </w:p>
    <w:p w14:paraId="4FD0A5CD">
      <w:pPr>
        <w:keepNext w:val="0"/>
        <w:keepLines w:val="0"/>
        <w:pageBreakBefore w:val="0"/>
        <w:widowControl w:val="0"/>
        <w:numPr>
          <w:ilvl w:val="0"/>
          <w:numId w:val="1"/>
        </w:numPr>
        <w:kinsoku/>
        <w:overflowPunct/>
        <w:topLinePunct w:val="0"/>
        <w:autoSpaceDE/>
        <w:autoSpaceDN/>
        <w:bidi w:val="0"/>
        <w:adjustRightInd/>
        <w:snapToGrid/>
        <w:spacing w:line="240" w:lineRule="auto"/>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高等学校科学研究优秀成果奖专利奖。</w:t>
      </w:r>
    </w:p>
    <w:p w14:paraId="0E50493B">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第三条</w:t>
      </w:r>
      <w:r>
        <w:rPr>
          <w:rFonts w:hint="eastAsia" w:ascii="仿宋" w:hAnsi="仿宋" w:eastAsia="仿宋" w:cs="仿宋"/>
          <w:b w:val="0"/>
          <w:bCs/>
          <w:color w:val="auto"/>
          <w:sz w:val="24"/>
          <w:szCs w:val="24"/>
        </w:rPr>
        <w:t xml:space="preserve"> 高等学校科学研究优秀成果奖（科学技术）贯彻尊重知识、尊重人才的方针，其推荐、评审和授奖实行公开、公平、公正原则，不受任何组织或者个人的非法干涉。</w:t>
      </w:r>
    </w:p>
    <w:p w14:paraId="4CFE5425">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第四条</w:t>
      </w:r>
      <w:r>
        <w:rPr>
          <w:rFonts w:hint="eastAsia" w:ascii="仿宋" w:hAnsi="仿宋" w:eastAsia="仿宋" w:cs="仿宋"/>
          <w:b w:val="0"/>
          <w:bCs/>
          <w:color w:val="auto"/>
          <w:sz w:val="24"/>
          <w:szCs w:val="24"/>
        </w:rPr>
        <w:t xml:space="preserve"> 高等学校科学研究优秀成果奖（科学技术）设立高等学校科学研究优秀成果奖（科学技术）</w:t>
      </w:r>
      <w:bookmarkStart w:id="13" w:name="OLE_LINK1"/>
      <w:r>
        <w:rPr>
          <w:rFonts w:hint="eastAsia" w:ascii="仿宋" w:hAnsi="仿宋" w:eastAsia="仿宋" w:cs="仿宋"/>
          <w:b w:val="0"/>
          <w:bCs/>
          <w:color w:val="auto"/>
          <w:sz w:val="24"/>
          <w:szCs w:val="24"/>
        </w:rPr>
        <w:t>奖</w:t>
      </w:r>
      <w:bookmarkEnd w:id="13"/>
      <w:r>
        <w:rPr>
          <w:rFonts w:hint="eastAsia" w:ascii="仿宋" w:hAnsi="仿宋" w:eastAsia="仿宋" w:cs="仿宋"/>
          <w:b w:val="0"/>
          <w:bCs/>
          <w:color w:val="auto"/>
          <w:sz w:val="24"/>
          <w:szCs w:val="24"/>
        </w:rPr>
        <w:t>励委员会。高等学校科学研究优秀成果奖（科学技术）奖励委员会聘请有关专家、学者组成评审委员会，依照本办法的规定，负责高等学校科学研究优秀成果奖（科学技术）的评审工作。评审委员会的评审结果经高等学校科学研究优秀成果奖（科学技术）奖励委员会审核后，报教育部批准。</w:t>
      </w:r>
    </w:p>
    <w:p w14:paraId="759DCBF9">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第五条</w:t>
      </w:r>
      <w:r>
        <w:rPr>
          <w:rFonts w:hint="eastAsia" w:ascii="仿宋" w:hAnsi="仿宋" w:eastAsia="仿宋" w:cs="仿宋"/>
          <w:b w:val="0"/>
          <w:bCs/>
          <w:color w:val="auto"/>
          <w:sz w:val="24"/>
          <w:szCs w:val="24"/>
        </w:rPr>
        <w:t xml:space="preserve"> 评审委员会专家应当根据当年申报项目的学科分布等具体情况，由从全国高等学校范围内遴选的，在相关学科领域有较高学术造诣、学风端正的专家、学者组成。</w:t>
      </w:r>
    </w:p>
    <w:p w14:paraId="674C7F94">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第六条</w:t>
      </w:r>
      <w:r>
        <w:rPr>
          <w:rFonts w:hint="eastAsia" w:ascii="仿宋" w:hAnsi="仿宋" w:eastAsia="仿宋" w:cs="仿宋"/>
          <w:b w:val="0"/>
          <w:bCs/>
          <w:color w:val="auto"/>
          <w:sz w:val="24"/>
          <w:szCs w:val="24"/>
        </w:rPr>
        <w:t xml:space="preserve"> 高等学校科学研究优秀成果奖（科学技术）的评审组织管理部门（以下简称评审组织管理部门）和日常办事机构设在教育部科技发展中心</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负责评审的组织管理工作。</w:t>
      </w:r>
    </w:p>
    <w:p w14:paraId="5B30454C">
      <w:pPr>
        <w:keepNext w:val="0"/>
        <w:keepLines w:val="0"/>
        <w:pageBreakBefore w:val="0"/>
        <w:widowControl w:val="0"/>
        <w:numPr>
          <w:ilvl w:val="0"/>
          <w:numId w:val="0"/>
        </w:numPr>
        <w:kinsoku/>
        <w:overflowPunct/>
        <w:topLinePunct w:val="0"/>
        <w:autoSpaceDE/>
        <w:autoSpaceDN/>
        <w:bidi w:val="0"/>
        <w:adjustRightInd/>
        <w:snapToGrid/>
        <w:spacing w:line="240" w:lineRule="auto"/>
        <w:ind w:leftChars="0"/>
        <w:jc w:val="center"/>
        <w:textAlignment w:val="auto"/>
        <w:rPr>
          <w:rFonts w:hint="eastAsia" w:ascii="黑体" w:hAnsi="黑体" w:eastAsia="黑体" w:cs="黑体"/>
          <w:b/>
          <w:bCs w:val="0"/>
          <w:color w:val="auto"/>
          <w:sz w:val="24"/>
          <w:szCs w:val="24"/>
        </w:rPr>
      </w:pPr>
      <w:r>
        <w:rPr>
          <w:rFonts w:hint="eastAsia" w:ascii="黑体" w:hAnsi="黑体" w:eastAsia="黑体" w:cs="黑体"/>
          <w:b/>
          <w:bCs w:val="0"/>
          <w:color w:val="auto"/>
          <w:sz w:val="24"/>
          <w:szCs w:val="24"/>
          <w:lang w:val="en-US" w:eastAsia="zh-CN"/>
        </w:rPr>
        <w:t xml:space="preserve">第二章 </w:t>
      </w:r>
      <w:r>
        <w:rPr>
          <w:rFonts w:hint="eastAsia" w:ascii="黑体" w:hAnsi="黑体" w:eastAsia="黑体" w:cs="黑体"/>
          <w:b/>
          <w:bCs w:val="0"/>
          <w:color w:val="auto"/>
          <w:sz w:val="24"/>
          <w:szCs w:val="24"/>
        </w:rPr>
        <w:t>高等学校科学研究优秀成果奖</w:t>
      </w:r>
    </w:p>
    <w:p w14:paraId="76FF8ECD">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4"/>
          <w:szCs w:val="24"/>
        </w:rPr>
      </w:pPr>
      <w:r>
        <w:rPr>
          <w:rFonts w:hint="eastAsia" w:ascii="黑体" w:hAnsi="黑体" w:eastAsia="黑体" w:cs="黑体"/>
          <w:b/>
          <w:bCs w:val="0"/>
          <w:color w:val="auto"/>
          <w:sz w:val="24"/>
          <w:szCs w:val="24"/>
        </w:rPr>
        <w:t>（科学技术）的申报条件</w:t>
      </w:r>
    </w:p>
    <w:p w14:paraId="10A7AD25">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第七条</w:t>
      </w:r>
      <w:r>
        <w:rPr>
          <w:rFonts w:hint="eastAsia" w:ascii="仿宋" w:hAnsi="仿宋" w:eastAsia="仿宋" w:cs="仿宋"/>
          <w:b w:val="0"/>
          <w:bCs/>
          <w:color w:val="auto"/>
          <w:sz w:val="24"/>
          <w:szCs w:val="24"/>
        </w:rPr>
        <w:t xml:space="preserve"> 高等学校科学研究优秀成果奖自然科学奖（以下简称自然科学奖）授予在基础研究和应用基础研究中做出重要科学发现的个人和单位。</w:t>
      </w:r>
    </w:p>
    <w:p w14:paraId="525A74CE">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重要科学发现应具备下列条件： </w:t>
      </w:r>
    </w:p>
    <w:p w14:paraId="753DD1AC">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（一）前人尚未发现或者尚未阐明。指该项自然科学发现为国内外首次提出，或者其科学理论在国内外首次阐明</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且主要论著为国内外首次发表。</w:t>
      </w:r>
    </w:p>
    <w:p w14:paraId="21FB0A4C">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（二）具有重大科学价值。指在学术上处于国际同类研究的领先或者先进水平，并在科学理论、学说上有创见，在研究方法、手段上有创新，以及在基础数据的收集和综合分析上有创造性和系统性的贡献</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 xml:space="preserve">并对科学技术的发展有重要意义，或者对经济建设和社会发展具有重要影响。 </w:t>
      </w:r>
    </w:p>
    <w:p w14:paraId="6766B7AF">
      <w:pPr>
        <w:keepNext w:val="0"/>
        <w:keepLines w:val="0"/>
        <w:pageBreakBefore w:val="0"/>
        <w:widowControl w:val="0"/>
        <w:kinsoku/>
        <w:overflowPunct/>
        <w:topLinePunct w:val="0"/>
        <w:autoSpaceDE/>
        <w:autoSpaceDN/>
        <w:bidi w:val="0"/>
        <w:adjustRightInd/>
        <w:snapToGrid/>
        <w:spacing w:line="240" w:lineRule="auto"/>
        <w:ind w:firstLine="63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（三）得到国内外自然科学界公认。指主要论著已公开发行或者出版一年以上，其重要科学结论已为国内外同行引用或已应用。 </w:t>
      </w:r>
    </w:p>
    <w:p w14:paraId="0235AEC9">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第八条</w:t>
      </w:r>
      <w:r>
        <w:rPr>
          <w:rFonts w:hint="eastAsia" w:ascii="仿宋" w:hAnsi="仿宋" w:eastAsia="仿宋" w:cs="仿宋"/>
          <w:b w:val="0"/>
          <w:bCs/>
          <w:color w:val="auto"/>
          <w:sz w:val="24"/>
          <w:szCs w:val="24"/>
        </w:rPr>
        <w:t xml:space="preserve"> 高等学校科学研究优秀成果奖技术发明奖（以下简称技术发明奖）授予在运用科学技术知识做出产品、工艺、材料及其系统等重要技术发明的个人和单位。</w:t>
      </w:r>
    </w:p>
    <w:p w14:paraId="73AE6908">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重要技术发明应具备下列条件：</w:t>
      </w:r>
    </w:p>
    <w:p w14:paraId="0BF4A43E">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（一）前人尚未发明或尚未公开。指该项技术发明为国内外首创，或者虽然国内外已有但主要技术内容尚未在国内外公开出版物、媒体及各种公众信息渠道上发表或者公开，也未曾公开使用。</w:t>
      </w:r>
    </w:p>
    <w:p w14:paraId="0E35726E">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具有先进性和创造性。指该项技术发明与国内外已有同类技术相比较，其技术构思有实质性的特点和显著的进步，主要性能（性状）、技术经济指标、科学技术水平及其促进科学技术进步的作用和意义等方面综合优于同类技术。</w:t>
      </w:r>
    </w:p>
    <w:p w14:paraId="737FCE71">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（三）经实施，创造了显著经济效益或社会效益，或具有明显的应用前景。指该项技术发明成熟，并实施应用一年以上</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取得良好的效果。直接关系到人身和社会安全的技术发明成果，如动植物新品种、药品、食品、基因工程技术等，在未获得行政机关审批之前，不得推荐。</w:t>
      </w:r>
    </w:p>
    <w:p w14:paraId="663DC332">
      <w:pPr>
        <w:keepNext w:val="0"/>
        <w:keepLines w:val="0"/>
        <w:pageBreakBefore w:val="0"/>
        <w:widowControl w:val="0"/>
        <w:kinsoku/>
        <w:overflowPunct/>
        <w:topLinePunct w:val="0"/>
        <w:autoSpaceDE/>
        <w:autoSpaceDN/>
        <w:bidi w:val="0"/>
        <w:adjustRightInd/>
        <w:snapToGrid/>
        <w:spacing w:line="240" w:lineRule="auto"/>
        <w:ind w:firstLine="57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第九条</w:t>
      </w:r>
      <w:r>
        <w:rPr>
          <w:rFonts w:hint="eastAsia" w:ascii="仿宋" w:hAnsi="仿宋" w:eastAsia="仿宋" w:cs="仿宋"/>
          <w:b w:val="0"/>
          <w:bCs/>
          <w:color w:val="auto"/>
          <w:sz w:val="24"/>
          <w:szCs w:val="24"/>
        </w:rPr>
        <w:t xml:space="preserve"> 高等学校科学研究优秀成果奖科学技术进步奖（以下简称科技进步奖）授予在应用推广先进科学技术成果、完成重要科学技术工程、计划、项目等方面做出创造性贡献的个人和单位。分为技术开发、社会公益、国家安全三类。</w:t>
      </w:r>
    </w:p>
    <w:p w14:paraId="0343CB0D">
      <w:pPr>
        <w:keepNext w:val="0"/>
        <w:keepLines w:val="0"/>
        <w:pageBreakBefore w:val="0"/>
        <w:widowControl w:val="0"/>
        <w:kinsoku/>
        <w:overflowPunct/>
        <w:topLinePunct w:val="0"/>
        <w:autoSpaceDE/>
        <w:autoSpaceDN/>
        <w:bidi w:val="0"/>
        <w:adjustRightInd/>
        <w:snapToGrid/>
        <w:spacing w:line="240" w:lineRule="auto"/>
        <w:ind w:firstLine="57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科技进步奖的成果应当具备下列条件： </w:t>
      </w:r>
    </w:p>
    <w:p w14:paraId="686AC90D">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技术创新性突出。在技术上有创新，特别是在高新技术领域进行自主创新，形成了产业的主导技术和名牌产品，或者应用高新技术对传统产业进行装备和改造，通过技术创新，提升传统产业，增加行业的技术含量；技术难度较大，解决了行业发展中的热点、难点和关键问题；总体技术水平和主要技术经济指标达到了行业的领先水平。</w:t>
      </w:r>
    </w:p>
    <w:p w14:paraId="1B49ABAB">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（二）经济效益或者社会效益显著。所开发的成果经过一年以上的实施应用，产生了明显的经济效益或者社会效益，实现了技术创新的市场价值或者社会价值，为经济建设、社会发展和国家安全做出了很大贡献。</w:t>
      </w:r>
    </w:p>
    <w:p w14:paraId="51556B34">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三）推动行业科技进步作用明显。成果的转化程度高，具有较强的示范、带动和扩散能力，提高了行业的技术水平、竞争能力和系统创新能力，促进了产业结构的调整、优化、升级及产品的更新换代，对行业的发展具有很大作用。</w:t>
      </w:r>
    </w:p>
    <w:p w14:paraId="447522F6">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第十条</w:t>
      </w:r>
      <w:r>
        <w:rPr>
          <w:rFonts w:hint="eastAsia" w:ascii="仿宋" w:hAnsi="仿宋" w:eastAsia="仿宋" w:cs="仿宋"/>
          <w:b w:val="0"/>
          <w:bCs/>
          <w:color w:val="auto"/>
          <w:sz w:val="24"/>
          <w:szCs w:val="24"/>
        </w:rPr>
        <w:t xml:space="preserve"> 高等学校科学研究优秀成果奖专利奖（以下简称专利奖）授予高等学校拥有的优秀专利的发明人及专利权人。</w:t>
      </w:r>
    </w:p>
    <w:p w14:paraId="6882CB6B">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优秀专利应具备下列条件：</w:t>
      </w:r>
    </w:p>
    <w:p w14:paraId="7C71914D">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（一）已被授权发明专利的科研成果或已被授权实用新型专利的科研成果（不含国防专利和保密专利）；专利实施后取得了明显的经济效益或社会效益。</w:t>
      </w:r>
    </w:p>
    <w:p w14:paraId="1F0F1BD9">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（二）不存在专利权属纠纷、发明人或设计人纠纷、撤销专利权的请求和宣告专利权无效请求的专利。</w:t>
      </w:r>
    </w:p>
    <w:p w14:paraId="3A22A623">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第十一条</w:t>
      </w:r>
      <w:r>
        <w:rPr>
          <w:rFonts w:hint="eastAsia" w:ascii="仿宋" w:hAnsi="仿宋" w:eastAsia="仿宋" w:cs="仿宋"/>
          <w:b w:val="0"/>
          <w:bCs/>
          <w:color w:val="auto"/>
          <w:sz w:val="24"/>
          <w:szCs w:val="24"/>
        </w:rPr>
        <w:t xml:space="preserve"> 高等学校科学研究优秀成果奖（科学技术）设一等奖、二等奖两个等级。高等学校科学研究优秀成果奖（科学技术）每年奖励总数不超过320项。</w:t>
      </w:r>
    </w:p>
    <w:p w14:paraId="53DB1779">
      <w:pPr>
        <w:keepNext w:val="0"/>
        <w:keepLines w:val="0"/>
        <w:pageBreakBefore w:val="0"/>
        <w:widowControl w:val="0"/>
        <w:numPr>
          <w:ilvl w:val="0"/>
          <w:numId w:val="0"/>
        </w:numPr>
        <w:kinsoku/>
        <w:overflowPunct/>
        <w:topLinePunct w:val="0"/>
        <w:autoSpaceDE/>
        <w:autoSpaceDN/>
        <w:bidi w:val="0"/>
        <w:adjustRightInd/>
        <w:snapToGrid/>
        <w:spacing w:line="240" w:lineRule="auto"/>
        <w:ind w:leftChars="0"/>
        <w:jc w:val="center"/>
        <w:textAlignment w:val="auto"/>
        <w:rPr>
          <w:rFonts w:hint="eastAsia" w:ascii="黑体" w:hAnsi="黑体" w:eastAsia="黑体" w:cs="黑体"/>
          <w:b/>
          <w:bCs w:val="0"/>
          <w:color w:val="auto"/>
          <w:sz w:val="24"/>
          <w:szCs w:val="24"/>
        </w:rPr>
      </w:pPr>
      <w:r>
        <w:rPr>
          <w:rFonts w:hint="eastAsia" w:ascii="黑体" w:hAnsi="黑体" w:eastAsia="黑体" w:cs="黑体"/>
          <w:b/>
          <w:bCs w:val="0"/>
          <w:color w:val="auto"/>
          <w:sz w:val="24"/>
          <w:szCs w:val="24"/>
          <w:lang w:val="en-US" w:eastAsia="zh-CN"/>
        </w:rPr>
        <w:t xml:space="preserve">第三章 </w:t>
      </w:r>
      <w:r>
        <w:rPr>
          <w:rFonts w:hint="eastAsia" w:ascii="黑体" w:hAnsi="黑体" w:eastAsia="黑体" w:cs="黑体"/>
          <w:b/>
          <w:bCs w:val="0"/>
          <w:color w:val="auto"/>
          <w:sz w:val="24"/>
          <w:szCs w:val="24"/>
        </w:rPr>
        <w:t>高等学校科学研究优秀成果奖</w:t>
      </w:r>
    </w:p>
    <w:p w14:paraId="581A7B5D">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4"/>
          <w:szCs w:val="24"/>
        </w:rPr>
      </w:pPr>
      <w:r>
        <w:rPr>
          <w:rFonts w:hint="eastAsia" w:ascii="黑体" w:hAnsi="黑体" w:eastAsia="黑体" w:cs="黑体"/>
          <w:b/>
          <w:bCs w:val="0"/>
          <w:color w:val="auto"/>
          <w:sz w:val="24"/>
          <w:szCs w:val="24"/>
        </w:rPr>
        <w:t>（科学技术）的评审标准</w:t>
      </w:r>
    </w:p>
    <w:p w14:paraId="79C289A6">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第十二条</w:t>
      </w:r>
      <w:r>
        <w:rPr>
          <w:rFonts w:hint="eastAsia" w:ascii="仿宋" w:hAnsi="仿宋" w:eastAsia="仿宋" w:cs="仿宋"/>
          <w:b w:val="0"/>
          <w:bCs/>
          <w:color w:val="auto"/>
          <w:sz w:val="24"/>
          <w:szCs w:val="24"/>
        </w:rPr>
        <w:t xml:space="preserve"> 自然科学奖的主要完成人必须是该项自然科学发现代表论著的作者，并具备下列条件之一： </w:t>
      </w:r>
    </w:p>
    <w:p w14:paraId="7F16116E">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（一）提出总体学术思想、研究方案；</w:t>
      </w:r>
    </w:p>
    <w:p w14:paraId="3FB99944">
      <w:pPr>
        <w:pStyle w:val="6"/>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（二）发现与阐明重要科学现象、特性和规律，并创立科学理论和学说，或者提出研究方法和手段，以及对重要基础数据进行收集和综合分析等；</w:t>
      </w:r>
    </w:p>
    <w:p w14:paraId="1EA50B44">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（三）解决关键性学术疑难问题或者实验技术难点。</w:t>
      </w:r>
    </w:p>
    <w:p w14:paraId="7C57FA90">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自然科学奖的主要完成单位应在成果的研究过程中，主持或参与研究计划或方案的制订及组织实施，并提供技术、经费或设备等条件，对该项成果的研究起到重要作用的单位。获奖单位必须是主要完成人所在的单位。</w:t>
      </w:r>
    </w:p>
    <w:p w14:paraId="3A963D79">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第十三条</w:t>
      </w:r>
      <w:r>
        <w:rPr>
          <w:rFonts w:hint="eastAsia" w:ascii="仿宋" w:hAnsi="仿宋" w:eastAsia="仿宋" w:cs="仿宋"/>
          <w:b w:val="0"/>
          <w:bCs/>
          <w:color w:val="auto"/>
          <w:sz w:val="24"/>
          <w:szCs w:val="24"/>
        </w:rPr>
        <w:t xml:space="preserve"> 由中外学者合作完成的论著，中国学者应为主要研究者，且不存在知识产权权属的争议，并由国外学术机构或人员提供书面证明材料。</w:t>
      </w:r>
    </w:p>
    <w:p w14:paraId="368EA3CF">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第十四条</w:t>
      </w:r>
      <w:r>
        <w:rPr>
          <w:rFonts w:hint="eastAsia" w:ascii="仿宋" w:hAnsi="仿宋" w:eastAsia="仿宋" w:cs="仿宋"/>
          <w:b w:val="0"/>
          <w:bCs/>
          <w:color w:val="auto"/>
          <w:sz w:val="24"/>
          <w:szCs w:val="24"/>
        </w:rPr>
        <w:t xml:space="preserve"> 自然科学奖的评审标准为：</w:t>
      </w:r>
    </w:p>
    <w:p w14:paraId="77CCE99C">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在科学上取得了突破性的进展，学术上为国际同类研究的领先水平，并为学术界所公认和广泛引用，推动了本学科或其分支学科或相关学科的发展，或者对经济建设、社会发展有很大影响的，可评为一等奖；</w:t>
      </w:r>
    </w:p>
    <w:p w14:paraId="2CC63578">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（二）在科学上取得重要的进展，学术上为国际同类研究的先进水平，并为学术界所公认和引用，推动了本学科或者其分支学科的发展，或者对经济建设、社会发展有较大影响的，可评为二等奖。</w:t>
      </w:r>
    </w:p>
    <w:p w14:paraId="3AD324DE">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第十五条</w:t>
      </w:r>
      <w:r>
        <w:rPr>
          <w:rFonts w:hint="eastAsia" w:ascii="仿宋" w:hAnsi="仿宋" w:eastAsia="仿宋" w:cs="仿宋"/>
          <w:b w:val="0"/>
          <w:bCs/>
          <w:color w:val="auto"/>
          <w:sz w:val="24"/>
          <w:szCs w:val="24"/>
        </w:rPr>
        <w:t xml:space="preserve"> 技术发明奖的主要完成人必须是该项技术发明的全部或部分创造性技术内容的独立完成人；技术发明奖的主要完成单位是指发明成果的主要完成人所在单位，并对该项发明的完成起重要作用。</w:t>
      </w:r>
    </w:p>
    <w:p w14:paraId="4E5F9B95">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第十六条</w:t>
      </w:r>
      <w:r>
        <w:rPr>
          <w:rFonts w:hint="eastAsia" w:ascii="仿宋" w:hAnsi="仿宋" w:eastAsia="仿宋" w:cs="仿宋"/>
          <w:b w:val="0"/>
          <w:bCs/>
          <w:color w:val="auto"/>
          <w:sz w:val="24"/>
          <w:szCs w:val="24"/>
        </w:rPr>
        <w:t xml:space="preserve"> 技术发明奖的评审标准为： </w:t>
      </w:r>
    </w:p>
    <w:p w14:paraId="2C6A9644">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属国内外首创的重要技术发明，技术思路独特，技术上有很大的创新，技术经济指标达到了国际同类技术的领先水平，推动了相关领域的技术进步，已产生了显著的经济效益或者社会效益或具有明显的应用前景，可评为一等奖；</w:t>
      </w:r>
    </w:p>
    <w:p w14:paraId="6F90B678">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属国内外首创，或者国内外已有但尚未公开的主要技术发明，技术思路新颖，技术上有较大的创新，技术经济指标达到了国际同类技术的先进水平，对本领域的技术进步有推动作用，并产生了明显的经济效益、社会效益或具有明显的应用前景，可评为二等奖。</w:t>
      </w:r>
    </w:p>
    <w:p w14:paraId="24E1064A">
      <w:pPr>
        <w:keepNext w:val="0"/>
        <w:keepLines w:val="0"/>
        <w:pageBreakBefore w:val="0"/>
        <w:widowControl w:val="0"/>
        <w:kinsoku/>
        <w:overflowPunct/>
        <w:topLinePunct w:val="0"/>
        <w:autoSpaceDE/>
        <w:autoSpaceDN/>
        <w:bidi w:val="0"/>
        <w:adjustRightInd/>
        <w:snapToGrid/>
        <w:spacing w:line="240" w:lineRule="auto"/>
        <w:ind w:firstLine="57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第十七条</w:t>
      </w:r>
      <w:r>
        <w:rPr>
          <w:rFonts w:hint="eastAsia" w:ascii="仿宋" w:hAnsi="仿宋" w:eastAsia="仿宋" w:cs="仿宋"/>
          <w:b w:val="0"/>
          <w:bCs/>
          <w:color w:val="auto"/>
          <w:sz w:val="24"/>
          <w:szCs w:val="24"/>
        </w:rPr>
        <w:t xml:space="preserve"> 科技进步奖的主要完成人应当具备下列条件之一： </w:t>
      </w:r>
    </w:p>
    <w:p w14:paraId="447BED58">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（一）在提出和确定项目的总体技术方案中做出重要贡献；</w:t>
      </w:r>
    </w:p>
    <w:p w14:paraId="5F228B0B">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（二）在关键技术和疑难问题的解决中做出重要贡献；</w:t>
      </w:r>
    </w:p>
    <w:p w14:paraId="1A2A0E4A">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（三）在成果转化和应用推广过程中做出重要贡献；</w:t>
      </w:r>
    </w:p>
    <w:p w14:paraId="008001E3">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（四）在高新技术产业化的技术实施过程中做出创造性贡献。</w:t>
      </w:r>
    </w:p>
    <w:p w14:paraId="18397A42">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科技进步奖的主要完成单位是指科技成果的主要完成人所在单位，在项目研制、开发、投产应用和推广过程中提供技术、设备和人员等条件，对成果的完成起到重要作用的单位。行政管理部门一般不得作为主要完成单位。 </w:t>
      </w:r>
    </w:p>
    <w:p w14:paraId="0C2C594B">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 xml:space="preserve">第十八条 </w:t>
      </w:r>
      <w:r>
        <w:rPr>
          <w:rFonts w:hint="eastAsia" w:ascii="仿宋" w:hAnsi="仿宋" w:eastAsia="仿宋" w:cs="仿宋"/>
          <w:b w:val="0"/>
          <w:bCs/>
          <w:color w:val="auto"/>
          <w:sz w:val="24"/>
          <w:szCs w:val="24"/>
        </w:rPr>
        <w:t xml:space="preserve">科技进步奖的评审标准为： </w:t>
      </w:r>
    </w:p>
    <w:p w14:paraId="40D0DC8D">
      <w:pPr>
        <w:keepNext w:val="0"/>
        <w:keepLines w:val="0"/>
        <w:pageBreakBefore w:val="0"/>
        <w:widowControl w:val="0"/>
        <w:kinsoku/>
        <w:overflowPunct/>
        <w:topLinePunct w:val="0"/>
        <w:autoSpaceDE/>
        <w:autoSpaceDN/>
        <w:bidi w:val="0"/>
        <w:adjustRightInd/>
        <w:snapToGrid/>
        <w:spacing w:line="240" w:lineRule="auto"/>
        <w:ind w:firstLine="475" w:firstLineChars="198"/>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一）技术开发类：在关键技术和系统集成上有重要创新，技术难度大，总体技术水平和主要技术经济指标达到了国际同类技术的先进水平，市场竞争力强，成果转化程度高，取得了显著的经济效益，对行业的技术进步和产业结构优化升级有很大作用的，可评为一等奖；在关键技术和系统集成上有较大创新，技术难度较大，总体技术水平和主要技术经济指标达到了国内同类技术的领先水平，并接近国际同类技术的先进水平，市场竞争力较强，成果转化程度较高，取得了明显的经济效益，对行业的技术进步和产业结构调整有较大意义的，可评为二等奖。 </w:t>
      </w:r>
    </w:p>
    <w:p w14:paraId="6E116D2A">
      <w:pPr>
        <w:keepNext w:val="0"/>
        <w:keepLines w:val="0"/>
        <w:pageBreakBefore w:val="0"/>
        <w:widowControl w:val="0"/>
        <w:kinsoku/>
        <w:overflowPunct/>
        <w:topLinePunct w:val="0"/>
        <w:autoSpaceDE/>
        <w:autoSpaceDN/>
        <w:bidi w:val="0"/>
        <w:adjustRightInd/>
        <w:snapToGrid/>
        <w:spacing w:line="240" w:lineRule="auto"/>
        <w:ind w:firstLine="57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社会公益类：在关键技术和系统集成上有重要创新，技术难度大，总体技术水平和主要技术指标达到了国际同类技术的先进水平，并在行业得到广泛应用，取得了显著的社会效益，对科技发展和社会进步有很大意义的，可评为一等奖；在关键技术和系统集成上有较大创新，技术难度较大，总体技术水平和主要技术指标达到了国内同类技术的领先水平，并接近国际同类技术的先进水平，在行业较大范围应用，取得了明显的社会效益，对科技发展和社会进步有较大意义的，可评为二等奖。</w:t>
      </w:r>
    </w:p>
    <w:p w14:paraId="523F6CED">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三）国家安全类：在关键技术和系统集成上有重要创新，技术难度大，总体技术达到国际同类技术的先进水平，应用效果突出，对国防建设和保障国家安全具有很大作用的，可评为一等奖；在关键技术和系统集成上有较大创新，技术难度较大，总体技术达到国内同类技术的领先水平，并接近国际同类技术的先进水平，应用效果突出，对国防建设和保障国家安全有较大作用的，可评为二等奖。</w:t>
      </w:r>
    </w:p>
    <w:p w14:paraId="223D54D0">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第十九条</w:t>
      </w:r>
      <w:r>
        <w:rPr>
          <w:rFonts w:hint="eastAsia" w:ascii="仿宋" w:hAnsi="仿宋" w:eastAsia="仿宋" w:cs="仿宋"/>
          <w:b w:val="0"/>
          <w:bCs/>
          <w:color w:val="auto"/>
          <w:sz w:val="24"/>
          <w:szCs w:val="24"/>
        </w:rPr>
        <w:t xml:space="preserve"> 专利奖的主要完成人应当是该项专利的发明人及在实施该专利技术中做出突出贡献的有关人员；主要完成单位是指该项专利的专利权人及实施该专利技术的单位。</w:t>
      </w:r>
    </w:p>
    <w:p w14:paraId="551ACBA2">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第二十条</w:t>
      </w:r>
      <w:r>
        <w:rPr>
          <w:rFonts w:hint="eastAsia" w:ascii="仿宋" w:hAnsi="仿宋" w:eastAsia="仿宋" w:cs="仿宋"/>
          <w:b w:val="0"/>
          <w:bCs/>
          <w:color w:val="auto"/>
          <w:sz w:val="24"/>
          <w:szCs w:val="24"/>
        </w:rPr>
        <w:t xml:space="preserve"> 专利奖的评审标准为：</w:t>
      </w:r>
    </w:p>
    <w:p w14:paraId="222F1698">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发明专利类：发明原创性强，技术经济指标达到国际同类技术的领先水平，对促进本领域的技术进步与创新有突出的作用，专利实施后取得了显著的经济效益或社会效益的，可评为一等奖；技术思路新颖，技术上有较大的创新，技术经济指标达到国际同类技术的先进水平，对本领域的技术进步与创新有促进作用，专利实施后取得了明显的经济效益或社会效益的，可评为二等奖。</w:t>
      </w:r>
    </w:p>
    <w:p w14:paraId="789EB1E0">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实用新型专利类：技术方案构思独特、新颖，技术上有很大的创新，对本领域的技术进步有推动作用，专利实施后取得了很大的经济效益或社会效益的，可评为一等奖；技术方案构思巧妙、新颖，技术上有较大的创新，对本领域的技术进步有推动作用，专利实施后取得了较大的经济效益或社会效益的，可评为二等奖。</w:t>
      </w:r>
    </w:p>
    <w:p w14:paraId="78373C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黑体" w:hAnsi="黑体" w:eastAsia="黑体" w:cs="黑体"/>
          <w:b/>
          <w:bCs w:val="0"/>
          <w:color w:val="auto"/>
          <w:sz w:val="24"/>
          <w:szCs w:val="24"/>
        </w:rPr>
      </w:pPr>
      <w:r>
        <w:rPr>
          <w:rFonts w:hint="eastAsia" w:ascii="黑体" w:hAnsi="黑体" w:eastAsia="黑体" w:cs="黑体"/>
          <w:b/>
          <w:bCs w:val="0"/>
          <w:color w:val="auto"/>
          <w:sz w:val="24"/>
          <w:szCs w:val="24"/>
          <w:lang w:val="en-US" w:eastAsia="zh-CN"/>
        </w:rPr>
        <w:t xml:space="preserve">第四章 </w:t>
      </w:r>
      <w:r>
        <w:rPr>
          <w:rFonts w:hint="eastAsia" w:ascii="黑体" w:hAnsi="黑体" w:eastAsia="黑体" w:cs="黑体"/>
          <w:b/>
          <w:bCs w:val="0"/>
          <w:color w:val="auto"/>
          <w:sz w:val="24"/>
          <w:szCs w:val="24"/>
        </w:rPr>
        <w:t>高等学校科学研究优秀成果奖</w:t>
      </w:r>
    </w:p>
    <w:p w14:paraId="624FC7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4"/>
          <w:szCs w:val="24"/>
        </w:rPr>
      </w:pPr>
      <w:r>
        <w:rPr>
          <w:rFonts w:hint="eastAsia" w:ascii="黑体" w:hAnsi="黑体" w:eastAsia="黑体" w:cs="黑体"/>
          <w:b/>
          <w:bCs w:val="0"/>
          <w:color w:val="auto"/>
          <w:sz w:val="24"/>
          <w:szCs w:val="24"/>
        </w:rPr>
        <w:t>（科学技术）的推荐办法</w:t>
      </w:r>
    </w:p>
    <w:p w14:paraId="06806F17">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第二十一条</w:t>
      </w:r>
      <w:r>
        <w:rPr>
          <w:rFonts w:hint="eastAsia" w:ascii="仿宋" w:hAnsi="仿宋" w:eastAsia="仿宋" w:cs="仿宋"/>
          <w:b w:val="0"/>
          <w:bCs/>
          <w:color w:val="auto"/>
          <w:sz w:val="24"/>
          <w:szCs w:val="24"/>
        </w:rPr>
        <w:t xml:space="preserve"> 高等学校科学研究优秀成果奖（科学技术）每年评审、推荐一次。 </w:t>
      </w:r>
    </w:p>
    <w:p w14:paraId="77282702">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第二十二条</w:t>
      </w:r>
      <w:r>
        <w:rPr>
          <w:rFonts w:hint="eastAsia" w:ascii="仿宋" w:hAnsi="仿宋" w:eastAsia="仿宋" w:cs="仿宋"/>
          <w:b w:val="0"/>
          <w:bCs/>
          <w:color w:val="auto"/>
          <w:sz w:val="24"/>
          <w:szCs w:val="24"/>
        </w:rPr>
        <w:t xml:space="preserve"> 高等学校科学研究优秀成果奖（科学技术）由下列单位和个人推荐：</w:t>
      </w:r>
    </w:p>
    <w:p w14:paraId="42BBCCF4">
      <w:pPr>
        <w:keepNext w:val="0"/>
        <w:keepLines w:val="0"/>
        <w:pageBreakBefore w:val="0"/>
        <w:widowControl w:val="0"/>
        <w:numPr>
          <w:ilvl w:val="0"/>
          <w:numId w:val="2"/>
        </w:numPr>
        <w:kinsoku/>
        <w:overflowPunct/>
        <w:topLinePunct w:val="0"/>
        <w:autoSpaceDE/>
        <w:autoSpaceDN/>
        <w:bidi w:val="0"/>
        <w:adjustRightInd/>
        <w:snapToGrid/>
        <w:spacing w:line="240" w:lineRule="auto"/>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省、自治区、直辖市教育厅（教委）</w:t>
      </w:r>
    </w:p>
    <w:p w14:paraId="6D61B816">
      <w:pPr>
        <w:keepNext w:val="0"/>
        <w:keepLines w:val="0"/>
        <w:pageBreakBefore w:val="0"/>
        <w:widowControl w:val="0"/>
        <w:numPr>
          <w:ilvl w:val="0"/>
          <w:numId w:val="2"/>
        </w:numPr>
        <w:kinsoku/>
        <w:overflowPunct/>
        <w:topLinePunct w:val="0"/>
        <w:autoSpaceDE/>
        <w:autoSpaceDN/>
        <w:bidi w:val="0"/>
        <w:adjustRightInd/>
        <w:snapToGrid/>
        <w:spacing w:line="240" w:lineRule="auto"/>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教育部直属高等学校</w:t>
      </w:r>
    </w:p>
    <w:p w14:paraId="190C0486">
      <w:pPr>
        <w:keepNext w:val="0"/>
        <w:keepLines w:val="0"/>
        <w:pageBreakBefore w:val="0"/>
        <w:widowControl w:val="0"/>
        <w:numPr>
          <w:ilvl w:val="0"/>
          <w:numId w:val="2"/>
        </w:numPr>
        <w:kinsoku/>
        <w:overflowPunct/>
        <w:topLinePunct w:val="0"/>
        <w:autoSpaceDE/>
        <w:autoSpaceDN/>
        <w:bidi w:val="0"/>
        <w:adjustRightInd/>
        <w:snapToGrid/>
        <w:spacing w:line="240" w:lineRule="auto"/>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中国科学院院士、中国工程院院士</w:t>
      </w:r>
    </w:p>
    <w:p w14:paraId="6579D303">
      <w:pPr>
        <w:keepNext w:val="0"/>
        <w:keepLines w:val="0"/>
        <w:pageBreakBefore w:val="0"/>
        <w:widowControl w:val="0"/>
        <w:kinsoku/>
        <w:overflowPunct/>
        <w:topLinePunct w:val="0"/>
        <w:autoSpaceDE/>
        <w:autoSpaceDN/>
        <w:bidi w:val="0"/>
        <w:adjustRightInd/>
        <w:snapToGrid/>
        <w:spacing w:line="240" w:lineRule="auto"/>
        <w:ind w:firstLine="63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第二十三条</w:t>
      </w:r>
      <w:r>
        <w:rPr>
          <w:rFonts w:hint="eastAsia" w:ascii="仿宋" w:hAnsi="仿宋" w:eastAsia="仿宋" w:cs="仿宋"/>
          <w:b w:val="0"/>
          <w:bCs/>
          <w:color w:val="auto"/>
          <w:sz w:val="24"/>
          <w:szCs w:val="24"/>
        </w:rPr>
        <w:t xml:space="preserve"> 全国各高等学校均可以依据本办法推荐项目。其中，地方高等学校的各类研究成果需经学校批准后，由省、自治区、直辖市教育厅（教委）审核后向评审组织管理部门推荐；教育部直属高等学校的各类研究成果，经学校批准，可直接向评审组织管理部门推荐。</w:t>
      </w:r>
    </w:p>
    <w:p w14:paraId="55E6885D">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第二十四条</w:t>
      </w:r>
      <w:r>
        <w:rPr>
          <w:rFonts w:hint="eastAsia" w:ascii="仿宋" w:hAnsi="仿宋" w:eastAsia="仿宋" w:cs="仿宋"/>
          <w:b w:val="0"/>
          <w:bCs/>
          <w:color w:val="auto"/>
          <w:sz w:val="24"/>
          <w:szCs w:val="24"/>
        </w:rPr>
        <w:t xml:space="preserve"> 3名以上（含3名）中国科学院院士、中国工程院院士可联署直接向评审组织管理部门推荐1项所熟悉专业的高等学校科学研究优秀成果奖（科学技术）。</w:t>
      </w:r>
    </w:p>
    <w:p w14:paraId="6BDCDB70">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第二十五条</w:t>
      </w:r>
      <w:r>
        <w:rPr>
          <w:rFonts w:hint="eastAsia" w:ascii="仿宋" w:hAnsi="仿宋" w:eastAsia="仿宋" w:cs="仿宋"/>
          <w:b w:val="0"/>
          <w:bCs/>
          <w:color w:val="auto"/>
          <w:sz w:val="24"/>
          <w:szCs w:val="24"/>
        </w:rPr>
        <w:t xml:space="preserve"> 两个以上（含两个）单位合作完成的项目，应当协商后，由第一完成单位组织推荐，但第一完成单位应当是高等学校。</w:t>
      </w:r>
    </w:p>
    <w:p w14:paraId="315CAB28">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第二十六条</w:t>
      </w:r>
      <w:r>
        <w:rPr>
          <w:rFonts w:hint="eastAsia" w:ascii="仿宋" w:hAnsi="仿宋" w:eastAsia="仿宋" w:cs="仿宋"/>
          <w:b w:val="0"/>
          <w:bCs/>
          <w:color w:val="auto"/>
          <w:sz w:val="24"/>
          <w:szCs w:val="24"/>
        </w:rPr>
        <w:t xml:space="preserve"> 推荐单位、推荐人认为有关专家参加评审可能影响评审公正性的，可以要求回避，并书面提出理由。每项推荐所提出的回避专家人数不得超过3人。</w:t>
      </w:r>
    </w:p>
    <w:p w14:paraId="79179393">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第二十七条</w:t>
      </w:r>
      <w:r>
        <w:rPr>
          <w:rFonts w:hint="eastAsia" w:ascii="仿宋" w:hAnsi="仿宋" w:eastAsia="仿宋" w:cs="仿宋"/>
          <w:b w:val="0"/>
          <w:bCs/>
          <w:color w:val="auto"/>
          <w:sz w:val="24"/>
          <w:szCs w:val="24"/>
        </w:rPr>
        <w:t xml:space="preserve"> 有下列情形之一的，不得推荐高等学校科学研究优秀成果奖（科学技术）：</w:t>
      </w:r>
    </w:p>
    <w:p w14:paraId="4E07276B">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（一）已获得过国家级、省（部）级科学技术奖的；</w:t>
      </w:r>
    </w:p>
    <w:p w14:paraId="5B03D80E">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（二）在知识产权以及完成单位、完成人署名等方面存在争议，尚未解决的； </w:t>
      </w:r>
    </w:p>
    <w:p w14:paraId="24135E61">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（三）依照有关</w:t>
      </w:r>
      <w:r>
        <w:rPr>
          <w:rFonts w:hint="eastAsia" w:ascii="仿宋" w:hAnsi="仿宋" w:eastAsia="仿宋" w:cs="仿宋"/>
          <w:b w:val="0"/>
          <w:bCs/>
          <w:color w:val="auto"/>
          <w:sz w:val="24"/>
          <w:szCs w:val="24"/>
          <w:lang w:eastAsia="zh-CN"/>
        </w:rPr>
        <w:t>法律法规</w:t>
      </w:r>
      <w:r>
        <w:rPr>
          <w:rFonts w:hint="eastAsia" w:ascii="仿宋" w:hAnsi="仿宋" w:eastAsia="仿宋" w:cs="仿宋"/>
          <w:b w:val="0"/>
          <w:bCs/>
          <w:color w:val="auto"/>
          <w:sz w:val="24"/>
          <w:szCs w:val="24"/>
        </w:rPr>
        <w:t>规定必须取得有关许可证，且直接关系到人身和社会安全、公共利益的项目，尚未获得行政主管部门批准的。</w:t>
      </w:r>
    </w:p>
    <w:p w14:paraId="33069A39">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第二十八条</w:t>
      </w:r>
      <w:r>
        <w:rPr>
          <w:rFonts w:hint="eastAsia" w:ascii="仿宋" w:hAnsi="仿宋" w:eastAsia="仿宋" w:cs="仿宋"/>
          <w:b w:val="0"/>
          <w:bCs/>
          <w:color w:val="auto"/>
          <w:sz w:val="24"/>
          <w:szCs w:val="24"/>
        </w:rPr>
        <w:t xml:space="preserve"> 往年推荐过的未授奖项目，在此后的研究开发活动中又获得新的实质性进展，并符合规定条件的，可以按规定的程序和要求重新推荐。</w:t>
      </w:r>
    </w:p>
    <w:p w14:paraId="60E723F5">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第二十九条</w:t>
      </w:r>
      <w:r>
        <w:rPr>
          <w:rFonts w:hint="eastAsia" w:ascii="仿宋" w:hAnsi="仿宋" w:eastAsia="仿宋" w:cs="仿宋"/>
          <w:b w:val="0"/>
          <w:bCs/>
          <w:color w:val="auto"/>
          <w:sz w:val="24"/>
          <w:szCs w:val="24"/>
        </w:rPr>
        <w:t xml:space="preserve"> 推荐高等学校科学研究优秀成果奖（科学技术）的项目需按有关规定填写《推荐书》，提供相关材料。推荐书及相关材料应当完整、真实。</w:t>
      </w:r>
    </w:p>
    <w:p w14:paraId="6FDCBADA">
      <w:pPr>
        <w:keepNext w:val="0"/>
        <w:keepLines w:val="0"/>
        <w:pageBreakBefore w:val="0"/>
        <w:widowControl w:val="0"/>
        <w:numPr>
          <w:ilvl w:val="0"/>
          <w:numId w:val="0"/>
        </w:numPr>
        <w:kinsoku/>
        <w:overflowPunct/>
        <w:topLinePunct w:val="0"/>
        <w:autoSpaceDE/>
        <w:autoSpaceDN/>
        <w:bidi w:val="0"/>
        <w:adjustRightInd/>
        <w:snapToGrid/>
        <w:spacing w:line="240" w:lineRule="auto"/>
        <w:ind w:leftChars="0"/>
        <w:jc w:val="center"/>
        <w:textAlignment w:val="auto"/>
        <w:rPr>
          <w:rFonts w:hint="eastAsia" w:ascii="黑体" w:hAnsi="黑体" w:eastAsia="黑体" w:cs="黑体"/>
          <w:b/>
          <w:bCs w:val="0"/>
          <w:color w:val="auto"/>
          <w:sz w:val="24"/>
          <w:szCs w:val="24"/>
        </w:rPr>
      </w:pPr>
      <w:r>
        <w:rPr>
          <w:rFonts w:hint="eastAsia" w:ascii="黑体" w:hAnsi="黑体" w:eastAsia="黑体" w:cs="黑体"/>
          <w:b/>
          <w:bCs w:val="0"/>
          <w:color w:val="auto"/>
          <w:sz w:val="24"/>
          <w:szCs w:val="24"/>
          <w:lang w:val="en-US" w:eastAsia="zh-CN"/>
        </w:rPr>
        <w:t xml:space="preserve">第五章 </w:t>
      </w:r>
      <w:r>
        <w:rPr>
          <w:rFonts w:hint="eastAsia" w:ascii="黑体" w:hAnsi="黑体" w:eastAsia="黑体" w:cs="黑体"/>
          <w:b/>
          <w:bCs w:val="0"/>
          <w:color w:val="auto"/>
          <w:sz w:val="24"/>
          <w:szCs w:val="24"/>
        </w:rPr>
        <w:t>高等学校科学研究优秀成果奖</w:t>
      </w:r>
    </w:p>
    <w:p w14:paraId="0098A4BD">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4"/>
          <w:szCs w:val="24"/>
        </w:rPr>
      </w:pPr>
      <w:r>
        <w:rPr>
          <w:rFonts w:hint="eastAsia" w:ascii="黑体" w:hAnsi="黑体" w:eastAsia="黑体" w:cs="黑体"/>
          <w:b/>
          <w:bCs w:val="0"/>
          <w:color w:val="auto"/>
          <w:sz w:val="24"/>
          <w:szCs w:val="24"/>
        </w:rPr>
        <w:t>（科学技术）的评审和授予</w:t>
      </w:r>
    </w:p>
    <w:p w14:paraId="5CBA463B">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第三十条</w:t>
      </w:r>
      <w:r>
        <w:rPr>
          <w:rFonts w:hint="eastAsia" w:ascii="仿宋" w:hAnsi="仿宋" w:eastAsia="仿宋" w:cs="仿宋"/>
          <w:b w:val="0"/>
          <w:bCs/>
          <w:color w:val="auto"/>
          <w:sz w:val="24"/>
          <w:szCs w:val="24"/>
        </w:rPr>
        <w:t xml:space="preserve"> 评审组织管理部门负责组织对《推荐书》及相关材料进行形式审查，审查的主要内容为推荐奖励范围、推荐时间、推荐书等是否符合要求。推荐技术发明奖、科技进步奖、专利奖的，还需审查经济效益、社会效益、推广应用情况等。</w:t>
      </w:r>
    </w:p>
    <w:p w14:paraId="7CB18A19">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第三十一条</w:t>
      </w:r>
      <w:r>
        <w:rPr>
          <w:rFonts w:hint="eastAsia" w:ascii="仿宋" w:hAnsi="仿宋" w:eastAsia="仿宋" w:cs="仿宋"/>
          <w:b w:val="0"/>
          <w:bCs/>
          <w:color w:val="auto"/>
          <w:sz w:val="24"/>
          <w:szCs w:val="24"/>
        </w:rPr>
        <w:t xml:space="preserve"> 形式审查合格的项目按以下程序进行评审：</w:t>
      </w:r>
    </w:p>
    <w:p w14:paraId="294253DE">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（一）送同行专家进行通信评审；</w:t>
      </w:r>
    </w:p>
    <w:p w14:paraId="2769A4FD">
      <w:pPr>
        <w:keepNext w:val="0"/>
        <w:keepLines w:val="0"/>
        <w:pageBreakBefore w:val="0"/>
        <w:widowControl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（二）在专家通信评审的基础上，召开高等学校科学研究优秀成果奖（科学技术）专家评审委员会会议，提出建议奖励种类、奖励等级、奖励人员和单位。</w:t>
      </w:r>
    </w:p>
    <w:p w14:paraId="18F03804">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第三十二条</w:t>
      </w:r>
      <w:r>
        <w:rPr>
          <w:rFonts w:hint="eastAsia" w:ascii="仿宋" w:hAnsi="仿宋" w:eastAsia="仿宋" w:cs="仿宋"/>
          <w:b w:val="0"/>
          <w:bCs/>
          <w:color w:val="auto"/>
          <w:sz w:val="24"/>
          <w:szCs w:val="24"/>
        </w:rPr>
        <w:t xml:space="preserve"> 自然科学奖、技术发明奖、科技进步奖、专利奖的一等奖应当由出席评审委员会会议委员的三分之二多数（含三分之二）通过。</w:t>
      </w:r>
    </w:p>
    <w:p w14:paraId="0EE4BE5F">
      <w:pPr>
        <w:keepNext w:val="0"/>
        <w:keepLines w:val="0"/>
        <w:pageBreakBefore w:val="0"/>
        <w:widowControl w:val="0"/>
        <w:kinsoku/>
        <w:overflowPunct/>
        <w:topLinePunct w:val="0"/>
        <w:autoSpaceDE/>
        <w:autoSpaceDN/>
        <w:bidi w:val="0"/>
        <w:adjustRightInd/>
        <w:snapToGrid/>
        <w:spacing w:line="240" w:lineRule="auto"/>
        <w:ind w:firstLine="63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自然科学奖、技术发明奖、科技进步奖、专利奖的二等奖应当由出席评审委员会会议委员的二分之一以上多数（不含二分之一）通过。</w:t>
      </w:r>
    </w:p>
    <w:p w14:paraId="73F7E309">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第三十三条</w:t>
      </w:r>
      <w:r>
        <w:rPr>
          <w:rFonts w:hint="eastAsia" w:ascii="仿宋" w:hAnsi="仿宋" w:eastAsia="仿宋" w:cs="仿宋"/>
          <w:b w:val="0"/>
          <w:bCs/>
          <w:color w:val="auto"/>
          <w:sz w:val="24"/>
          <w:szCs w:val="24"/>
        </w:rPr>
        <w:t xml:space="preserve"> 高等学校科学研究优秀成果奖（科学技术）实行回避制度，推荐项目的主要完成人不能作为当年的评审专家。</w:t>
      </w:r>
    </w:p>
    <w:p w14:paraId="2A11C45F">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第三十四条</w:t>
      </w:r>
      <w:r>
        <w:rPr>
          <w:rFonts w:hint="eastAsia" w:ascii="仿宋" w:hAnsi="仿宋" w:eastAsia="仿宋" w:cs="仿宋"/>
          <w:b w:val="0"/>
          <w:bCs/>
          <w:color w:val="auto"/>
          <w:sz w:val="24"/>
          <w:szCs w:val="24"/>
        </w:rPr>
        <w:t xml:space="preserve"> 评审委员会提出的拟授奖项目，经审核后，报教育部批准。</w:t>
      </w:r>
    </w:p>
    <w:p w14:paraId="37111204">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第三十五条</w:t>
      </w:r>
      <w:r>
        <w:rPr>
          <w:rFonts w:hint="eastAsia" w:ascii="仿宋" w:hAnsi="仿宋" w:eastAsia="仿宋" w:cs="仿宋"/>
          <w:b w:val="0"/>
          <w:bCs/>
          <w:color w:val="auto"/>
          <w:sz w:val="24"/>
          <w:szCs w:val="24"/>
        </w:rPr>
        <w:t xml:space="preserve"> 授奖项目应当以公告的形式向社会公开。自公告之日起一个月内国内外任何组织、个人均可提出异议，逾期未提出异议的或在期限内提出异议，经复议仍维持原评审结果的，即为授奖项目。</w:t>
      </w:r>
    </w:p>
    <w:p w14:paraId="3730CB58">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仿宋" w:hAnsi="仿宋" w:eastAsia="仿宋" w:cs="仿宋"/>
          <w:b w:val="0"/>
          <w:bCs/>
          <w:color w:val="auto"/>
          <w:sz w:val="24"/>
          <w:szCs w:val="24"/>
          <w:lang w:eastAsia="zh-CN"/>
        </w:rPr>
      </w:pPr>
      <w:r>
        <w:rPr>
          <w:rFonts w:hint="eastAsia" w:ascii="仿宋" w:hAnsi="仿宋" w:eastAsia="仿宋" w:cs="仿宋"/>
          <w:b/>
          <w:bCs w:val="0"/>
          <w:color w:val="auto"/>
          <w:sz w:val="24"/>
          <w:szCs w:val="24"/>
        </w:rPr>
        <w:t xml:space="preserve">    第三十六条</w:t>
      </w:r>
      <w:r>
        <w:rPr>
          <w:rFonts w:hint="eastAsia" w:ascii="仿宋" w:hAnsi="仿宋" w:eastAsia="仿宋" w:cs="仿宋"/>
          <w:b w:val="0"/>
          <w:bCs/>
          <w:color w:val="auto"/>
          <w:sz w:val="24"/>
          <w:szCs w:val="24"/>
        </w:rPr>
        <w:t xml:space="preserve"> 高等学校科学研究优秀成果奖（科学技术）由教育部授奖。</w:t>
      </w:r>
    </w:p>
    <w:p w14:paraId="5D10B9E2">
      <w:pPr>
        <w:keepNext w:val="0"/>
        <w:keepLines w:val="0"/>
        <w:pageBreakBefore w:val="0"/>
        <w:widowControl w:val="0"/>
        <w:numPr>
          <w:ilvl w:val="0"/>
          <w:numId w:val="0"/>
        </w:numPr>
        <w:kinsoku/>
        <w:overflowPunct/>
        <w:topLinePunct w:val="0"/>
        <w:autoSpaceDE/>
        <w:autoSpaceDN/>
        <w:bidi w:val="0"/>
        <w:adjustRightInd/>
        <w:snapToGrid/>
        <w:spacing w:line="240" w:lineRule="auto"/>
        <w:ind w:leftChars="0"/>
        <w:jc w:val="center"/>
        <w:textAlignment w:val="auto"/>
        <w:rPr>
          <w:rFonts w:hint="eastAsia" w:ascii="黑体" w:hAnsi="黑体" w:eastAsia="黑体" w:cs="黑体"/>
          <w:b/>
          <w:bCs w:val="0"/>
          <w:color w:val="auto"/>
          <w:sz w:val="24"/>
          <w:szCs w:val="24"/>
        </w:rPr>
      </w:pPr>
      <w:r>
        <w:rPr>
          <w:rFonts w:hint="eastAsia" w:ascii="黑体" w:hAnsi="黑体" w:eastAsia="黑体" w:cs="黑体"/>
          <w:b/>
          <w:bCs w:val="0"/>
          <w:color w:val="auto"/>
          <w:sz w:val="24"/>
          <w:szCs w:val="24"/>
          <w:lang w:val="en-US" w:eastAsia="zh-CN"/>
        </w:rPr>
        <w:t xml:space="preserve">第六章 </w:t>
      </w:r>
      <w:r>
        <w:rPr>
          <w:rFonts w:hint="eastAsia" w:ascii="黑体" w:hAnsi="黑体" w:eastAsia="黑体" w:cs="黑体"/>
          <w:b/>
          <w:bCs w:val="0"/>
          <w:color w:val="auto"/>
          <w:sz w:val="24"/>
          <w:szCs w:val="24"/>
        </w:rPr>
        <w:t>高等学校科学研究优秀成果奖</w:t>
      </w:r>
    </w:p>
    <w:p w14:paraId="0405301A">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4"/>
          <w:szCs w:val="24"/>
        </w:rPr>
      </w:pPr>
      <w:r>
        <w:rPr>
          <w:rFonts w:hint="eastAsia" w:ascii="黑体" w:hAnsi="黑体" w:eastAsia="黑体" w:cs="黑体"/>
          <w:b/>
          <w:bCs w:val="0"/>
          <w:color w:val="auto"/>
          <w:sz w:val="24"/>
          <w:szCs w:val="24"/>
        </w:rPr>
        <w:t>（科学技术）的异议及处理</w:t>
      </w:r>
    </w:p>
    <w:p w14:paraId="02AD6D31">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第三十七条</w:t>
      </w:r>
      <w:r>
        <w:rPr>
          <w:rFonts w:hint="eastAsia" w:ascii="仿宋" w:hAnsi="仿宋" w:eastAsia="仿宋" w:cs="仿宋"/>
          <w:b w:val="0"/>
          <w:bCs/>
          <w:color w:val="auto"/>
          <w:sz w:val="24"/>
          <w:szCs w:val="24"/>
        </w:rPr>
        <w:t xml:space="preserve"> 对公告的拟授奖项目如有异议，自公告之日起一个月内可向评审组织管理部门提出。逾期提出的异议，除属弄虚作假和剽窃成果或成果有原则性错误的异议外，不予受理。</w:t>
      </w:r>
    </w:p>
    <w:p w14:paraId="6FE8C3E5">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第三十八条</w:t>
      </w:r>
      <w:r>
        <w:rPr>
          <w:rFonts w:hint="eastAsia" w:ascii="仿宋" w:hAnsi="仿宋" w:eastAsia="仿宋" w:cs="仿宋"/>
          <w:b w:val="0"/>
          <w:bCs/>
          <w:color w:val="auto"/>
          <w:sz w:val="24"/>
          <w:szCs w:val="24"/>
        </w:rPr>
        <w:t xml:space="preserve"> 对授奖项目提出异议者，应当以书面形式写明项目名称、授奖等级以及自己的真实姓名、工作单位、联系地址（如需保密，请注明）。对所提出的异议，应包括有关证据。未按上述要求提出的异议，不予受理。</w:t>
      </w:r>
    </w:p>
    <w:p w14:paraId="13F86C33">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第三十九条</w:t>
      </w:r>
      <w:r>
        <w:rPr>
          <w:rFonts w:hint="eastAsia" w:ascii="仿宋" w:hAnsi="仿宋" w:eastAsia="仿宋" w:cs="仿宋"/>
          <w:b w:val="0"/>
          <w:bCs/>
          <w:color w:val="auto"/>
          <w:sz w:val="24"/>
          <w:szCs w:val="24"/>
        </w:rPr>
        <w:t xml:space="preserve"> 异议分为实质性异议和非实质性异议。凡对涉及授奖项目的创新性、先进性、实用性和《推荐书》填写不实所提的异议为实质性异议；对主要完成人、主要完成单位及其排序的异议，为非实质性异议。推荐单位、推荐专家、完成人和完成单位对评审等级的意见，不属于异议范围。</w:t>
      </w:r>
    </w:p>
    <w:p w14:paraId="3696F198">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第四十条</w:t>
      </w:r>
      <w:r>
        <w:rPr>
          <w:rFonts w:hint="eastAsia" w:ascii="仿宋" w:hAnsi="仿宋" w:eastAsia="仿宋" w:cs="仿宋"/>
          <w:b w:val="0"/>
          <w:bCs/>
          <w:color w:val="auto"/>
          <w:sz w:val="24"/>
          <w:szCs w:val="24"/>
        </w:rPr>
        <w:t xml:space="preserve"> 实质性异议由评审组织管理部门会同有关推荐单位或者推荐专家协助处理。涉及异议的任何一方应当积极配合，不得推诿和延误。推荐单位或者推荐专家接到异议通知后，应当在规定的时间内核实异议材料，并如期做出答复。必要时，评审组织管理部门可以组织有关专家进行调查、复议，提出处理意见，并根据需要报请下一年度高等学校科学研究优秀成果奖（科学技术）专家评审委员会决定。非实质性异议由推荐单位或者推荐专家负责协调，提出初步处理意见报评审组织管理部门审核。推荐单位或者推荐专家在规定的时间内未提出调查、核实报告，被视为弃权。涉及国家安全成果的异议，由有关部门处理，并将处理结果报评审组织管理部门。 </w:t>
      </w:r>
    </w:p>
    <w:p w14:paraId="2ED5E018">
      <w:pPr>
        <w:keepNext w:val="0"/>
        <w:keepLines w:val="0"/>
        <w:pageBreakBefore w:val="0"/>
        <w:widowControl w:val="0"/>
        <w:kinsoku/>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第四十一条</w:t>
      </w:r>
      <w:r>
        <w:rPr>
          <w:rFonts w:hint="eastAsia" w:ascii="仿宋" w:hAnsi="仿宋" w:eastAsia="仿宋" w:cs="仿宋"/>
          <w:b w:val="0"/>
          <w:bCs/>
          <w:color w:val="auto"/>
          <w:sz w:val="24"/>
          <w:szCs w:val="24"/>
        </w:rPr>
        <w:t xml:space="preserve"> 参加处理异议问题的单位和人员，要以对国家、对人民负责的态度，严肃认真、实事求是、秉公办理、严守秘密。</w:t>
      </w:r>
    </w:p>
    <w:p w14:paraId="077038CC">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4"/>
          <w:szCs w:val="24"/>
        </w:rPr>
      </w:pPr>
      <w:r>
        <w:rPr>
          <w:rFonts w:hint="eastAsia" w:ascii="黑体" w:hAnsi="黑体" w:eastAsia="黑体" w:cs="黑体"/>
          <w:b/>
          <w:bCs w:val="0"/>
          <w:color w:val="auto"/>
          <w:sz w:val="24"/>
          <w:szCs w:val="24"/>
        </w:rPr>
        <w:t>第七章</w:t>
      </w:r>
      <w:r>
        <w:rPr>
          <w:rFonts w:hint="eastAsia" w:ascii="黑体" w:hAnsi="黑体" w:eastAsia="黑体" w:cs="黑体"/>
          <w:b/>
          <w:bCs w:val="0"/>
          <w:color w:val="auto"/>
          <w:sz w:val="24"/>
          <w:szCs w:val="24"/>
          <w:lang w:val="en-US" w:eastAsia="zh-CN"/>
        </w:rPr>
        <w:t xml:space="preserve"> </w:t>
      </w:r>
      <w:r>
        <w:rPr>
          <w:rFonts w:hint="eastAsia" w:ascii="黑体" w:hAnsi="黑体" w:eastAsia="黑体" w:cs="黑体"/>
          <w:b/>
          <w:bCs w:val="0"/>
          <w:color w:val="auto"/>
          <w:sz w:val="24"/>
          <w:szCs w:val="24"/>
        </w:rPr>
        <w:t>罚则</w:t>
      </w:r>
    </w:p>
    <w:p w14:paraId="557452EB">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第四十二条</w:t>
      </w:r>
      <w:r>
        <w:rPr>
          <w:rFonts w:hint="eastAsia" w:ascii="仿宋" w:hAnsi="仿宋" w:eastAsia="仿宋" w:cs="仿宋"/>
          <w:b w:val="0"/>
          <w:bCs/>
          <w:color w:val="auto"/>
          <w:sz w:val="24"/>
          <w:szCs w:val="24"/>
        </w:rPr>
        <w:t xml:space="preserve"> 剽窃、侵夺他人的发现、发明或者其他科学技术成果的，或者以其他不正当手段骗取高等学校科学研究优秀成果奖（科学技术）的，由评审组织管理部门报教育部批准后撤销其奖励。 </w:t>
      </w:r>
    </w:p>
    <w:p w14:paraId="41770D0E">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第四十三条</w:t>
      </w:r>
      <w:r>
        <w:rPr>
          <w:rFonts w:hint="eastAsia" w:ascii="仿宋" w:hAnsi="仿宋" w:eastAsia="仿宋" w:cs="仿宋"/>
          <w:b w:val="0"/>
          <w:bCs/>
          <w:color w:val="auto"/>
          <w:sz w:val="24"/>
          <w:szCs w:val="24"/>
        </w:rPr>
        <w:t xml:space="preserve"> 推荐单位或推荐专家提供虚假数据、材料，协助他人骗取高等学校科学研究优秀成果奖（科学技术）的，由评审组织管理部门报教育部批准后，通报批评或者取消其推荐资格。</w:t>
      </w:r>
    </w:p>
    <w:p w14:paraId="25535354">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第四十四条</w:t>
      </w:r>
      <w:r>
        <w:rPr>
          <w:rFonts w:hint="eastAsia" w:ascii="仿宋" w:hAnsi="仿宋" w:eastAsia="仿宋" w:cs="仿宋"/>
          <w:b w:val="0"/>
          <w:bCs/>
          <w:color w:val="auto"/>
          <w:sz w:val="24"/>
          <w:szCs w:val="24"/>
        </w:rPr>
        <w:t xml:space="preserve"> 参与高等学校科学研究优秀成果奖（科学技术）活动的有关人员在评审活动中弄虚作假、徇私舞弊、泄露秘密，依据有关规定给予处分。 </w:t>
      </w:r>
    </w:p>
    <w:p w14:paraId="58B49555">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黑体" w:hAnsi="黑体" w:eastAsia="黑体" w:cs="黑体"/>
          <w:b/>
          <w:bCs w:val="0"/>
          <w:color w:val="auto"/>
          <w:sz w:val="24"/>
          <w:szCs w:val="24"/>
        </w:rPr>
      </w:pPr>
      <w:r>
        <w:rPr>
          <w:rFonts w:hint="eastAsia" w:ascii="黑体" w:hAnsi="黑体" w:eastAsia="黑体" w:cs="黑体"/>
          <w:b/>
          <w:bCs w:val="0"/>
          <w:color w:val="auto"/>
          <w:sz w:val="24"/>
          <w:szCs w:val="24"/>
        </w:rPr>
        <w:t>第八章</w:t>
      </w:r>
      <w:r>
        <w:rPr>
          <w:rFonts w:hint="eastAsia" w:ascii="黑体" w:hAnsi="黑体" w:eastAsia="黑体" w:cs="黑体"/>
          <w:b/>
          <w:bCs w:val="0"/>
          <w:color w:val="auto"/>
          <w:sz w:val="24"/>
          <w:szCs w:val="24"/>
          <w:lang w:val="en-US" w:eastAsia="zh-CN"/>
        </w:rPr>
        <w:t xml:space="preserve"> </w:t>
      </w:r>
      <w:r>
        <w:rPr>
          <w:rFonts w:hint="eastAsia" w:ascii="黑体" w:hAnsi="黑体" w:eastAsia="黑体" w:cs="黑体"/>
          <w:b/>
          <w:bCs w:val="0"/>
          <w:color w:val="auto"/>
          <w:sz w:val="24"/>
          <w:szCs w:val="24"/>
        </w:rPr>
        <w:t>附则</w:t>
      </w:r>
    </w:p>
    <w:p w14:paraId="1BA1D747">
      <w:pPr>
        <w:keepNext w:val="0"/>
        <w:keepLines w:val="0"/>
        <w:pageBreakBefore w:val="0"/>
        <w:widowControl w:val="0"/>
        <w:kinsoku/>
        <w:overflowPunct/>
        <w:topLinePunct w:val="0"/>
        <w:autoSpaceDE/>
        <w:autoSpaceDN/>
        <w:bidi w:val="0"/>
        <w:adjustRightInd/>
        <w:snapToGrid/>
        <w:spacing w:line="240" w:lineRule="auto"/>
        <w:ind w:firstLine="482" w:firstLineChars="20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第四十五条</w:t>
      </w:r>
      <w:r>
        <w:rPr>
          <w:rFonts w:hint="eastAsia" w:ascii="仿宋" w:hAnsi="仿宋" w:eastAsia="仿宋" w:cs="仿宋"/>
          <w:b w:val="0"/>
          <w:bCs/>
          <w:color w:val="auto"/>
          <w:sz w:val="24"/>
          <w:szCs w:val="24"/>
        </w:rPr>
        <w:t xml:space="preserve"> 本办法自公布之日起施行。 </w:t>
      </w:r>
    </w:p>
    <w:p w14:paraId="6C5BCB89">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仿宋" w:hAnsi="仿宋" w:eastAsia="仿宋" w:cs="仿宋"/>
          <w:b w:val="0"/>
          <w:bCs/>
          <w:color w:val="auto"/>
          <w:sz w:val="24"/>
          <w:szCs w:val="24"/>
        </w:rPr>
      </w:pPr>
    </w:p>
    <w:p w14:paraId="65FEE616">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仿宋_GB2312" w:eastAsia="仿宋_GB2312"/>
          <w:b w:val="0"/>
          <w:bCs/>
          <w:color w:val="auto"/>
          <w:sz w:val="24"/>
          <w:szCs w:val="24"/>
        </w:rPr>
      </w:pPr>
    </w:p>
    <w:p w14:paraId="727FE719">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仿宋_GB2312" w:eastAsia="仿宋_GB2312"/>
          <w:b w:val="0"/>
          <w:bCs/>
          <w:color w:val="auto"/>
          <w:sz w:val="24"/>
          <w:szCs w:val="24"/>
        </w:rPr>
      </w:pPr>
    </w:p>
    <w:p w14:paraId="32F25F4B">
      <w:pPr>
        <w:pageBreakBefore w:val="0"/>
        <w:kinsoku/>
        <w:topLinePunct w:val="0"/>
        <w:autoSpaceDE/>
        <w:autoSpaceDN/>
        <w:bidi w:val="0"/>
        <w:adjustRightInd/>
        <w:spacing w:line="240" w:lineRule="auto"/>
        <w:rPr>
          <w:rFonts w:hint="eastAsia" w:ascii="宋体" w:hAnsi="宋体" w:eastAsia="宋体" w:cs="宋体"/>
          <w:b/>
          <w:bCs/>
          <w:i w:val="0"/>
          <w:iCs w:val="0"/>
          <w:caps w:val="0"/>
          <w:color w:val="auto"/>
          <w:spacing w:val="0"/>
          <w:sz w:val="36"/>
          <w:szCs w:val="36"/>
          <w:shd w:val="clear" w:color="auto" w:fill="FFFFFF"/>
        </w:rPr>
      </w:pPr>
    </w:p>
    <w:p w14:paraId="1E2C7E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微软雅黑" w:hAnsi="微软雅黑" w:eastAsia="微软雅黑" w:cs="微软雅黑"/>
          <w:b/>
          <w:bCs/>
          <w:i w:val="0"/>
          <w:iCs w:val="0"/>
          <w:caps w:val="0"/>
          <w:color w:val="auto"/>
          <w:spacing w:val="0"/>
          <w:sz w:val="21"/>
          <w:szCs w:val="21"/>
          <w:shd w:val="clear" w:color="auto" w:fill="FFFFFF"/>
        </w:rPr>
      </w:pPr>
      <w:r>
        <w:rPr>
          <w:rFonts w:hint="eastAsia" w:ascii="宋体" w:hAnsi="宋体" w:eastAsia="宋体" w:cs="宋体"/>
          <w:b/>
          <w:bCs/>
          <w:i w:val="0"/>
          <w:iCs w:val="0"/>
          <w:caps w:val="0"/>
          <w:color w:val="auto"/>
          <w:spacing w:val="0"/>
          <w:sz w:val="36"/>
          <w:szCs w:val="36"/>
          <w:shd w:val="clear" w:color="auto" w:fill="FFFFFF"/>
        </w:rPr>
        <w:br w:type="page"/>
      </w:r>
      <w:bookmarkStart w:id="14" w:name="_Toc11934"/>
      <w:bookmarkStart w:id="15" w:name="_Toc16470"/>
      <w:r>
        <w:rPr>
          <w:rFonts w:hint="eastAsia" w:ascii="宋体" w:hAnsi="宋体" w:eastAsia="宋体" w:cs="宋体"/>
          <w:b/>
          <w:bCs/>
          <w:i w:val="0"/>
          <w:iCs w:val="0"/>
          <w:caps w:val="0"/>
          <w:color w:val="auto"/>
          <w:spacing w:val="0"/>
          <w:sz w:val="36"/>
          <w:szCs w:val="36"/>
          <w:shd w:val="clear" w:color="auto" w:fill="FFFFFF"/>
        </w:rPr>
        <w:t>关于规范高等学校SCI论文相关指标使用</w:t>
      </w:r>
      <w:r>
        <w:rPr>
          <w:rFonts w:hint="eastAsia" w:ascii="宋体" w:hAnsi="宋体" w:cs="宋体"/>
          <w:b/>
          <w:bCs/>
          <w:i w:val="0"/>
          <w:iCs w:val="0"/>
          <w:caps w:val="0"/>
          <w:color w:val="auto"/>
          <w:spacing w:val="0"/>
          <w:sz w:val="36"/>
          <w:szCs w:val="36"/>
          <w:shd w:val="clear" w:color="auto" w:fill="FFFFFF"/>
          <w:lang w:val="en-US" w:eastAsia="zh-CN"/>
        </w:rPr>
        <w:t xml:space="preserve"> </w:t>
      </w:r>
      <w:r>
        <w:rPr>
          <w:rFonts w:hint="eastAsia" w:ascii="宋体" w:hAnsi="宋体" w:eastAsia="宋体" w:cs="宋体"/>
          <w:b/>
          <w:bCs/>
          <w:i w:val="0"/>
          <w:iCs w:val="0"/>
          <w:caps w:val="0"/>
          <w:color w:val="auto"/>
          <w:spacing w:val="0"/>
          <w:sz w:val="36"/>
          <w:szCs w:val="36"/>
          <w:shd w:val="clear" w:color="auto" w:fill="FFFFFF"/>
        </w:rPr>
        <w:t>树立正确评价导向的若干意见</w:t>
      </w:r>
      <w:bookmarkEnd w:id="14"/>
      <w:bookmarkEnd w:id="15"/>
    </w:p>
    <w:p w14:paraId="076013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为扭转当前科研评价中存在的SCI论文相关指标片面、过度、扭曲使用等现象，规范各类评价工作中SCI论文相关指标的使用，鼓励定性与定量相结合的综合评价方式，探索建立科学的评价体系，引导评价工作突出科学精神、创新质量、服务贡献，推动高等学校回归学术初心，净化学术风气，优化学术生态，现提出以下意见。</w:t>
      </w:r>
    </w:p>
    <w:p w14:paraId="7C1D17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一、准确理解SCI论文及相关指标。</w:t>
      </w:r>
      <w:r>
        <w:rPr>
          <w:rFonts w:hint="eastAsia" w:ascii="仿宋" w:hAnsi="仿宋" w:eastAsia="仿宋" w:cs="仿宋"/>
          <w:i w:val="0"/>
          <w:iCs w:val="0"/>
          <w:caps w:val="0"/>
          <w:color w:val="auto"/>
          <w:spacing w:val="0"/>
          <w:sz w:val="24"/>
          <w:szCs w:val="24"/>
          <w:shd w:val="clear" w:color="auto" w:fill="FFFFFF"/>
        </w:rPr>
        <w:t>SCI（Science Citation Index，科学引文索引）是国内外广泛使用的科技文献索引系统。SCI论文是发表在SCI收录期刊上的论文，相关指标包括论文数量、被引次数、高被引论文、影响因子、ESI（基本科学指标数据库）排名等，不是评价学术水平与创新贡献的直接依据。</w:t>
      </w:r>
    </w:p>
    <w:p w14:paraId="35D4BC7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二、深刻认识论文“SCI至上”的影响。</w:t>
      </w:r>
      <w:r>
        <w:rPr>
          <w:rFonts w:hint="eastAsia" w:ascii="仿宋" w:hAnsi="仿宋" w:eastAsia="仿宋" w:cs="仿宋"/>
          <w:i w:val="0"/>
          <w:iCs w:val="0"/>
          <w:caps w:val="0"/>
          <w:color w:val="auto"/>
          <w:spacing w:val="0"/>
          <w:sz w:val="24"/>
          <w:szCs w:val="24"/>
          <w:shd w:val="clear" w:color="auto" w:fill="FFFFFF"/>
        </w:rPr>
        <w:t>SCI论文相关指标已成为学术评价，以及职称评定、绩效考核、人才评价、学科评估、资源配置、学校排名等方面的核心指标，使得高等学校科研工作出现了过度追求SCI论文相关指标，甚至以发表SCI论文数量、高影响因子论文、高被引论文为根本目标的异化现象，科技创新出现了价值追求扭曲、学风浮夸浮躁和急功近利等问题。</w:t>
      </w:r>
    </w:p>
    <w:p w14:paraId="7BFBC62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三、建立健全分类评价体系。</w:t>
      </w:r>
      <w:r>
        <w:rPr>
          <w:rFonts w:hint="eastAsia" w:ascii="仿宋" w:hAnsi="仿宋" w:eastAsia="仿宋" w:cs="仿宋"/>
          <w:i w:val="0"/>
          <w:iCs w:val="0"/>
          <w:caps w:val="0"/>
          <w:color w:val="auto"/>
          <w:spacing w:val="0"/>
          <w:sz w:val="24"/>
          <w:szCs w:val="24"/>
          <w:shd w:val="clear" w:color="auto" w:fill="FFFFFF"/>
        </w:rPr>
        <w:t>对不同类型的科研工作应分别建立各有侧重的评价路径。对于基础研究，论文是成果产出的主要表达形式，坚决摒弃“以刊评文”，评价重点是论文的创新水平和科学价值，不把SCI论文相关指标作为直接判断依据；对于应用研究和技术创新，评价重点是对解决生产实践中关键技术问题的实际贡献，以及带来的新技术、新产品、新工艺实现产业化应用的实际效果，不以论文作为单一评价依据。对于服务国防的科研工作和科技成果转化工作，一般不把论文作为评价指标。</w:t>
      </w:r>
    </w:p>
    <w:p w14:paraId="7EFF4CF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四、完善学术同行评价。</w:t>
      </w:r>
      <w:r>
        <w:rPr>
          <w:rFonts w:hint="eastAsia" w:ascii="仿宋" w:hAnsi="仿宋" w:eastAsia="仿宋" w:cs="仿宋"/>
          <w:i w:val="0"/>
          <w:iCs w:val="0"/>
          <w:caps w:val="0"/>
          <w:color w:val="auto"/>
          <w:spacing w:val="0"/>
          <w:sz w:val="24"/>
          <w:szCs w:val="24"/>
          <w:shd w:val="clear" w:color="auto" w:fill="FFFFFF"/>
        </w:rPr>
        <w:t>组织实施部门要完善规则，引导学者在参加各类评审、评价、评估工作时遵守学术操守，负责任地提供专业评议意见，不简单以SCI论文相关指标和国内外专家评价评语代替专业判断，并遵守利益相关方专家回避原则。组织实施部门可开展对评审专家的实际表现、学术判断能力、公信力的相应评价，并建立评审专家评价信誉制度。</w:t>
      </w:r>
    </w:p>
    <w:p w14:paraId="65E58C7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五、规范各类评价活动。</w:t>
      </w:r>
      <w:r>
        <w:rPr>
          <w:rFonts w:hint="eastAsia" w:ascii="仿宋" w:hAnsi="仿宋" w:eastAsia="仿宋" w:cs="仿宋"/>
          <w:i w:val="0"/>
          <w:iCs w:val="0"/>
          <w:caps w:val="0"/>
          <w:color w:val="auto"/>
          <w:spacing w:val="0"/>
          <w:sz w:val="24"/>
          <w:szCs w:val="24"/>
          <w:shd w:val="clear" w:color="auto" w:fill="FFFFFF"/>
        </w:rPr>
        <w:t>大力减少项目评审、人才评价、机构评估事项。涉及学术评价的，组织实施单位应就评价指标和办法听取本单位科技管理部门意见。制定明确的工作流程和决策规则并在一定范围内听取意见和公示。实行代表作评价，精简优化申报材料，不再要求填报SCI论文相关指标，重点阐述代表性成果的创新点和意义。评审过程应严谨科学，遵循同行原则，对评审对象合理分组，遴选合适专家，并合理设定工作量，保障专家有充足评审时间。</w:t>
      </w:r>
    </w:p>
    <w:p w14:paraId="454E2F6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六、改进学科和学校评估。</w:t>
      </w:r>
      <w:r>
        <w:rPr>
          <w:rFonts w:hint="eastAsia" w:ascii="仿宋" w:hAnsi="仿宋" w:eastAsia="仿宋" w:cs="仿宋"/>
          <w:i w:val="0"/>
          <w:iCs w:val="0"/>
          <w:caps w:val="0"/>
          <w:color w:val="auto"/>
          <w:spacing w:val="0"/>
          <w:sz w:val="24"/>
          <w:szCs w:val="24"/>
          <w:shd w:val="clear" w:color="auto" w:fill="FFFFFF"/>
        </w:rPr>
        <w:t>减少对学科、学校的排名性评价，坚持分类和分领域评价。对创新能力的评价突出创新质量和实际贡献，审慎选用量化指标，不把SCI论文相关指标作为评价的直接依据，评价结果减少与资源配置直接挂钩。引导社会机构准确把握国家方针政策，科学开展大学评估排行。</w:t>
      </w:r>
    </w:p>
    <w:p w14:paraId="37FB53F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七、优化职称（职务）评聘办法。</w:t>
      </w:r>
      <w:r>
        <w:rPr>
          <w:rFonts w:hint="eastAsia" w:ascii="仿宋" w:hAnsi="仿宋" w:eastAsia="仿宋" w:cs="仿宋"/>
          <w:i w:val="0"/>
          <w:iCs w:val="0"/>
          <w:caps w:val="0"/>
          <w:color w:val="auto"/>
          <w:spacing w:val="0"/>
          <w:sz w:val="24"/>
          <w:szCs w:val="24"/>
          <w:shd w:val="clear" w:color="auto" w:fill="FFFFFF"/>
        </w:rPr>
        <w:t>在职称（职务）评聘中，学校应建立与岗位特点、学科特色、研究性质相适应的评价指标，细化论文在不同岗位评聘中的作用，重点考察实际水平、发展潜力和岗位匹配度，不以SCI论文相关指标作为判断的直接依据。在人员聘用中，学校不把SCI论文相关指标作为前置条件。</w:t>
      </w:r>
    </w:p>
    <w:p w14:paraId="702E71C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八、扭转考核奖励功利化倾向。</w:t>
      </w:r>
      <w:r>
        <w:rPr>
          <w:rFonts w:hint="eastAsia" w:ascii="仿宋" w:hAnsi="仿宋" w:eastAsia="仿宋" w:cs="仿宋"/>
          <w:i w:val="0"/>
          <w:iCs w:val="0"/>
          <w:caps w:val="0"/>
          <w:color w:val="auto"/>
          <w:spacing w:val="0"/>
          <w:sz w:val="24"/>
          <w:szCs w:val="24"/>
          <w:shd w:val="clear" w:color="auto" w:fill="FFFFFF"/>
        </w:rPr>
        <w:t>学校在绩效和聘期考核中，不宜对院系和个人下达SCI论文相关指标的数量要求，在资源配置时不得与SCI相关指标直接挂钩。要取消直接依据SCI论文相关指标对个人和院系的奖励，避免功利导向。</w:t>
      </w:r>
    </w:p>
    <w:p w14:paraId="0A04CF4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九、科学设置学位授予质量标准。</w:t>
      </w:r>
      <w:r>
        <w:rPr>
          <w:rFonts w:hint="eastAsia" w:ascii="仿宋" w:hAnsi="仿宋" w:eastAsia="仿宋" w:cs="仿宋"/>
          <w:i w:val="0"/>
          <w:iCs w:val="0"/>
          <w:caps w:val="0"/>
          <w:color w:val="auto"/>
          <w:spacing w:val="0"/>
          <w:sz w:val="24"/>
          <w:szCs w:val="24"/>
          <w:shd w:val="clear" w:color="auto" w:fill="FFFFFF"/>
        </w:rPr>
        <w:t>学校应重视人才培养质量和培养过程，发挥基层院系和导师的质量把关作用，加强对学位论文的质量审核，结合学科特点等合理设置学位授予的质量标准，不宜以发表SCI论文数量和影响因子等指标作为学生毕业和学位授予的限制性条件。</w:t>
      </w:r>
    </w:p>
    <w:p w14:paraId="6889891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十、树立正确政策导向。</w:t>
      </w:r>
      <w:r>
        <w:rPr>
          <w:rFonts w:hint="eastAsia" w:ascii="仿宋" w:hAnsi="仿宋" w:eastAsia="仿宋" w:cs="仿宋"/>
          <w:i w:val="0"/>
          <w:iCs w:val="0"/>
          <w:caps w:val="0"/>
          <w:color w:val="auto"/>
          <w:spacing w:val="0"/>
          <w:sz w:val="24"/>
          <w:szCs w:val="24"/>
          <w:shd w:val="clear" w:color="auto" w:fill="FFFFFF"/>
        </w:rPr>
        <w:t>高校、高校主管部门及其下属事业单位要按照正确的导向引领学术文化建设，不发布SCI论文相关指标、ESI指标的排行，不采信、引用和宣传其他机构以SCI论文、ESI为核心指标编制的排行榜，不把SCI论文相关指标作为科研人员、学科和大学评价的标签。</w:t>
      </w:r>
    </w:p>
    <w:p w14:paraId="5CF5488D"/>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汉仪中宋简">
    <w:altName w:val="宋体"/>
    <w:panose1 w:val="02010600000101010101"/>
    <w:charset w:val="86"/>
    <w:family w:val="modern"/>
    <w:pitch w:val="default"/>
    <w:sig w:usb0="00000000" w:usb1="00000000" w:usb2="00000002" w:usb3="00000000" w:csb0="00040000" w:csb1="00000000"/>
  </w:font>
  <w:font w:name="思源黑体 CN Normal">
    <w:altName w:val="黑体"/>
    <w:panose1 w:val="020B0400000000000000"/>
    <w:charset w:val="86"/>
    <w:family w:val="swiss"/>
    <w:pitch w:val="default"/>
    <w:sig w:usb0="00000000" w:usb1="00000000" w:usb2="00000016" w:usb3="00000000" w:csb0="00060107"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7577C">
    <w:pPr>
      <w:tabs>
        <w:tab w:val="left" w:pos="4506"/>
      </w:tabs>
      <w:spacing w:line="173" w:lineRule="auto"/>
      <w:ind w:left="4312"/>
      <w:rPr>
        <w:rFonts w:hint="eastAsia" w:ascii="宋体" w:hAnsi="宋体" w:eastAsia="宋体" w:cs="宋体"/>
        <w:sz w:val="18"/>
        <w:szCs w:val="18"/>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ED84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C5ED84F">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cs="宋体"/>
        <w:sz w:val="18"/>
        <w:szCs w:val="18"/>
        <w:lang w:eastAsia="zh-CN"/>
      </w:rPr>
      <w:tab/>
    </w:r>
  </w:p>
  <w:p w14:paraId="06E45A62">
    <w:pPr>
      <w:spacing w:line="173" w:lineRule="auto"/>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5A64D">
    <w:pPr>
      <w:tabs>
        <w:tab w:val="left" w:pos="4506"/>
      </w:tabs>
      <w:spacing w:line="173" w:lineRule="auto"/>
      <w:ind w:left="4312"/>
      <w:rPr>
        <w:rFonts w:hint="eastAsia" w:ascii="宋体" w:hAnsi="宋体" w:eastAsia="宋体" w:cs="宋体"/>
        <w:sz w:val="18"/>
        <w:szCs w:val="18"/>
        <w:lang w:eastAsia="zh-CN"/>
      </w:rPr>
    </w:pPr>
    <w:r>
      <w:rPr>
        <w:rFonts w:hint="eastAsia" w:ascii="宋体" w:hAnsi="宋体" w:cs="宋体"/>
        <w:sz w:val="18"/>
        <w:szCs w:val="18"/>
        <w:lang w:eastAsia="zh-CN"/>
      </w:rPr>
      <w:tab/>
    </w:r>
  </w:p>
  <w:p w14:paraId="0B531F60">
    <w:pPr>
      <w:spacing w:line="173" w:lineRule="auto"/>
      <w:rPr>
        <w:rFonts w:ascii="宋体" w:hAnsi="宋体" w:eastAsia="宋体" w:cs="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47FAE">
    <w:pPr>
      <w:tabs>
        <w:tab w:val="left" w:pos="4506"/>
      </w:tabs>
      <w:spacing w:line="173" w:lineRule="auto"/>
      <w:ind w:left="4312"/>
      <w:rPr>
        <w:rFonts w:hint="eastAsia" w:ascii="宋体" w:hAnsi="宋体" w:eastAsia="宋体" w:cs="宋体"/>
        <w:sz w:val="18"/>
        <w:szCs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4483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994483C">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cs="宋体"/>
        <w:sz w:val="18"/>
        <w:szCs w:val="18"/>
        <w:lang w:eastAsia="zh-CN"/>
      </w:rPr>
      <w:tab/>
    </w:r>
  </w:p>
  <w:p w14:paraId="6C4B6B49">
    <w:pPr>
      <w:spacing w:line="173" w:lineRule="auto"/>
      <w:rPr>
        <w:rFonts w:ascii="宋体" w:hAnsi="宋体" w:eastAsia="宋体" w:cs="宋体"/>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F1EBC"/>
    <w:multiLevelType w:val="multilevel"/>
    <w:tmpl w:val="2ABF1EBC"/>
    <w:lvl w:ilvl="0" w:tentative="0">
      <w:start w:val="1"/>
      <w:numFmt w:val="japaneseCounting"/>
      <w:lvlText w:val="（%1）"/>
      <w:lvlJc w:val="left"/>
      <w:pPr>
        <w:tabs>
          <w:tab w:val="left" w:pos="1410"/>
        </w:tabs>
        <w:ind w:left="1410" w:hanging="840"/>
      </w:pPr>
      <w:rPr>
        <w:rFonts w:ascii="仿宋_GB2312" w:hAnsi="Times New Roman" w:eastAsia="仿宋_GB2312" w:cs="Times New Roman"/>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1">
    <w:nsid w:val="572D142E"/>
    <w:multiLevelType w:val="multilevel"/>
    <w:tmpl w:val="572D142E"/>
    <w:lvl w:ilvl="0" w:tentative="0">
      <w:start w:val="1"/>
      <w:numFmt w:val="japaneseCounting"/>
      <w:lvlText w:val="（%1）"/>
      <w:lvlJc w:val="left"/>
      <w:pPr>
        <w:tabs>
          <w:tab w:val="left" w:pos="1495"/>
        </w:tabs>
        <w:ind w:left="1495" w:hanging="855"/>
      </w:pPr>
      <w:rPr>
        <w:rFonts w:hint="eastAsia"/>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B1F07"/>
    <w:rsid w:val="1CEB1F07"/>
    <w:rsid w:val="21E86B35"/>
    <w:rsid w:val="249917FE"/>
    <w:rsid w:val="25046CEA"/>
    <w:rsid w:val="2E3A7BAD"/>
    <w:rsid w:val="4F964606"/>
    <w:rsid w:val="56B20AE5"/>
    <w:rsid w:val="58CD3249"/>
    <w:rsid w:val="60F03F78"/>
    <w:rsid w:val="77D23F80"/>
    <w:rsid w:val="7A21036B"/>
    <w:rsid w:val="7D0B456A"/>
    <w:rsid w:val="7D583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00" w:lineRule="exact"/>
      <w:ind w:firstLine="480"/>
    </w:pPr>
    <w:rPr>
      <w:rFonts w:ascii="Times New Roman" w:hAnsi="Times New Roman"/>
      <w:kern w:val="0"/>
      <w:sz w:val="24"/>
      <w:szCs w:val="20"/>
    </w:rPr>
  </w:style>
  <w:style w:type="paragraph" w:styleId="6">
    <w:name w:val="Body Text"/>
    <w:basedOn w:val="1"/>
    <w:qFormat/>
    <w:uiPriority w:val="0"/>
    <w:rPr>
      <w:sz w:val="28"/>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17614</Words>
  <Characters>17663</Characters>
  <Lines>0</Lines>
  <Paragraphs>0</Paragraphs>
  <TotalTime>3</TotalTime>
  <ScaleCrop>false</ScaleCrop>
  <LinksUpToDate>false</LinksUpToDate>
  <CharactersWithSpaces>17745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2024-12-19T09:37:00Z</dcterms:created>
  <dc:creator>ちいん</dc:creator>
  <cp:lastModifiedBy>ちいん</cp:lastModifiedBy>
  <dcterms:modified xsi:type="dcterms:W3CDTF">2025-02-24T02:35:53Z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024077EF757D44E6AFCE760B10943BEA_11</vt:lpwstr>
  </property>
  <property fmtid="{D5CDD505-2E9C-101B-9397-08002B2CF9AE}" pid="4" name="KSOTemplateDocerSaveRecord">
    <vt:lpwstr>eyJoZGlkIjoiYzY3NTM1MWIxYzQ4NGMxMzc0YWY2ZWNhNjcwYjUxMzQiLCJ1c2VySWQiOiIzMTYyNzEyODIifQ==</vt:lpwstr>
  </property>
</Properties>
</file>