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E9105">
      <w:pPr>
        <w:jc w:val="center"/>
        <w:outlineLvl w:val="9"/>
        <w:rPr>
          <w:rFonts w:hint="eastAsia"/>
          <w:b/>
          <w:bCs/>
          <w:color w:val="auto"/>
          <w:sz w:val="56"/>
          <w:szCs w:val="56"/>
          <w:lang w:val="en-US" w:eastAsia="zh-CN"/>
        </w:rPr>
      </w:pPr>
      <w:bookmarkStart w:id="0" w:name="_Toc22428"/>
      <w:bookmarkStart w:id="1" w:name="_Toc28138"/>
    </w:p>
    <w:p w14:paraId="2B388BC3">
      <w:pPr>
        <w:jc w:val="center"/>
        <w:outlineLvl w:val="9"/>
        <w:rPr>
          <w:rFonts w:hint="eastAsia"/>
          <w:b/>
          <w:bCs/>
          <w:color w:val="auto"/>
          <w:sz w:val="56"/>
          <w:szCs w:val="56"/>
          <w:lang w:val="en-US" w:eastAsia="zh-CN"/>
        </w:rPr>
      </w:pPr>
      <w:r>
        <w:rPr>
          <w:b/>
          <w:color w:val="auto"/>
          <w:sz w:val="96"/>
          <w:szCs w:val="96"/>
        </w:rPr>
        <w:drawing>
          <wp:inline distT="0" distB="0" distL="114300" distR="114300">
            <wp:extent cx="1348740" cy="1645920"/>
            <wp:effectExtent l="0" t="0" r="0" b="11430"/>
            <wp:docPr id="3" name="图片 1" descr="吉林动画学院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吉林动画学院院标"/>
                    <pic:cNvPicPr>
                      <a:picLocks noChangeAspect="1"/>
                    </pic:cNvPicPr>
                  </pic:nvPicPr>
                  <pic:blipFill>
                    <a:blip r:embed="rId7"/>
                    <a:stretch>
                      <a:fillRect/>
                    </a:stretch>
                  </pic:blipFill>
                  <pic:spPr>
                    <a:xfrm>
                      <a:off x="0" y="0"/>
                      <a:ext cx="1348740" cy="1645920"/>
                    </a:xfrm>
                    <a:prstGeom prst="rect">
                      <a:avLst/>
                    </a:prstGeom>
                    <a:noFill/>
                    <a:ln>
                      <a:noFill/>
                    </a:ln>
                  </pic:spPr>
                </pic:pic>
              </a:graphicData>
            </a:graphic>
          </wp:inline>
        </w:drawing>
      </w:r>
    </w:p>
    <w:p w14:paraId="10843EAA">
      <w:pPr>
        <w:jc w:val="center"/>
        <w:outlineLvl w:val="9"/>
        <w:rPr>
          <w:rFonts w:hint="eastAsia"/>
          <w:b/>
          <w:bCs/>
          <w:color w:val="auto"/>
          <w:sz w:val="56"/>
          <w:szCs w:val="56"/>
          <w:lang w:val="en-US" w:eastAsia="zh-CN"/>
        </w:rPr>
      </w:pPr>
    </w:p>
    <w:p w14:paraId="39FD3585">
      <w:pPr>
        <w:jc w:val="center"/>
        <w:outlineLvl w:val="9"/>
        <w:rPr>
          <w:rFonts w:hint="eastAsia"/>
          <w:b/>
          <w:bCs/>
          <w:color w:val="auto"/>
          <w:sz w:val="56"/>
          <w:szCs w:val="56"/>
          <w:lang w:val="en-US" w:eastAsia="zh-CN"/>
        </w:rPr>
      </w:pP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-478790</wp:posOffset>
                </wp:positionH>
                <wp:positionV relativeFrom="paragraph">
                  <wp:posOffset>104775</wp:posOffset>
                </wp:positionV>
                <wp:extent cx="6223000" cy="14300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6223000" cy="1430020"/>
                        </a:xfrm>
                        <a:prstGeom prst="rect">
                          <a:avLst/>
                        </a:prstGeom>
                        <a:noFill/>
                        <a:ln>
                          <a:noFill/>
                        </a:ln>
                      </wps:spPr>
                      <wps:txbx>
                        <w:txbxContent>
                          <w:p w14:paraId="075A0F18">
                            <w:pPr>
                              <w:snapToGrid w:val="0"/>
                              <w:jc w:val="center"/>
                              <w:rPr>
                                <w:rFonts w:hint="eastAsia" w:ascii="方正小标宋_GBK" w:hAnsi="方正小标宋_GBK" w:eastAsia="方正小标宋_GBK" w:cs="方正小标宋_GBK"/>
                                <w:color w:val="000000"/>
                                <w:kern w:val="24"/>
                                <w:sz w:val="72"/>
                                <w:szCs w:val="72"/>
                                <w:lang w:val="en-US" w:eastAsia="zh-CN"/>
                              </w:rPr>
                            </w:pPr>
                            <w:r>
                              <w:rPr>
                                <w:rFonts w:hint="eastAsia" w:ascii="方正小标宋_GBK" w:hAnsi="方正小标宋_GBK" w:eastAsia="方正小标宋_GBK" w:cs="方正小标宋_GBK"/>
                                <w:color w:val="000000"/>
                                <w:kern w:val="24"/>
                                <w:sz w:val="72"/>
                                <w:szCs w:val="72"/>
                                <w:lang w:val="en-US" w:eastAsia="zh-CN"/>
                              </w:rPr>
                              <w:t>国家教育教学法律法规汇编</w:t>
                            </w:r>
                          </w:p>
                          <w:p w14:paraId="188C08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outlineLvl w:val="0"/>
                              <w:rPr>
                                <w:rFonts w:hint="eastAsia" w:ascii="黑体" w:hAnsi="黑体" w:eastAsia="黑体" w:cs="黑体"/>
                                <w:b/>
                                <w:bCs/>
                                <w:i w:val="0"/>
                                <w:iCs w:val="0"/>
                                <w:caps w:val="0"/>
                                <w:color w:val="auto"/>
                                <w:spacing w:val="0"/>
                                <w:sz w:val="36"/>
                                <w:szCs w:val="36"/>
                                <w:shd w:val="clear" w:color="auto" w:fill="FFFFFF"/>
                                <w:lang w:val="en-US" w:eastAsia="zh-CN"/>
                              </w:rPr>
                            </w:pPr>
                            <w:r>
                              <w:rPr>
                                <w:rFonts w:hint="eastAsia" w:ascii="黑体" w:hAnsi="黑体" w:eastAsia="黑体" w:cs="黑体"/>
                                <w:b/>
                                <w:bCs/>
                                <w:i w:val="0"/>
                                <w:iCs w:val="0"/>
                                <w:caps w:val="0"/>
                                <w:color w:val="auto"/>
                                <w:spacing w:val="0"/>
                                <w:sz w:val="36"/>
                                <w:szCs w:val="36"/>
                                <w:shd w:val="clear" w:color="auto" w:fill="FFFFFF"/>
                                <w:lang w:val="en-US" w:eastAsia="zh-CN"/>
                              </w:rPr>
                              <w:t>第九编 教育监督管理</w:t>
                            </w:r>
                          </w:p>
                          <w:p w14:paraId="0F19115B">
                            <w:pPr>
                              <w:pStyle w:val="2"/>
                              <w:rPr>
                                <w:rFonts w:hint="eastAsia"/>
                                <w:lang w:val="en-US" w:eastAsia="zh-CN"/>
                              </w:rPr>
                            </w:pPr>
                          </w:p>
                        </w:txbxContent>
                      </wps:txbx>
                      <wps:bodyPr lIns="0" tIns="0" rIns="0" bIns="0" upright="1"/>
                    </wps:wsp>
                  </a:graphicData>
                </a:graphic>
              </wp:anchor>
            </w:drawing>
          </mc:Choice>
          <mc:Fallback>
            <w:pict>
              <v:shape id="_x0000_s1026" o:spid="_x0000_s1026" o:spt="202" type="#_x0000_t202" style="position:absolute;left:0pt;margin-left:-37.7pt;margin-top:8.25pt;height:112.6pt;width:490pt;z-index:251659264;mso-width-relative:page;mso-height-relative:page;" filled="f" stroked="f" coordsize="21600,21600" o:gfxdata="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ObnO9oAAAAKAQAADwAAAAAAAAABACAAAAAiAAAAZHJzL2Rvd25yZXYueG1sUEsB&#10;AhQAFAAAAAgAh07iQMxFLb26AQAAcwMAAA4AAAAAAAAAAQAgAAAAKQEAAGRycy9lMm9Eb2MueG1s&#10;UEsFBgAAAAAGAAYAWQEAAFUFAAAAAA==&#10;">
                <v:fill on="f" focussize="0,0"/>
                <v:stroke on="f"/>
                <v:imagedata o:title=""/>
                <o:lock v:ext="edit" aspectratio="f"/>
                <v:textbox inset="0mm,0mm,0mm,0mm">
                  <w:txbxContent>
                    <w:p w14:paraId="075A0F18">
                      <w:pPr>
                        <w:snapToGrid w:val="0"/>
                        <w:jc w:val="center"/>
                        <w:rPr>
                          <w:rFonts w:hint="eastAsia" w:ascii="方正小标宋_GBK" w:hAnsi="方正小标宋_GBK" w:eastAsia="方正小标宋_GBK" w:cs="方正小标宋_GBK"/>
                          <w:color w:val="000000"/>
                          <w:kern w:val="24"/>
                          <w:sz w:val="72"/>
                          <w:szCs w:val="72"/>
                          <w:lang w:val="en-US" w:eastAsia="zh-CN"/>
                        </w:rPr>
                      </w:pPr>
                      <w:r>
                        <w:rPr>
                          <w:rFonts w:hint="eastAsia" w:ascii="方正小标宋_GBK" w:hAnsi="方正小标宋_GBK" w:eastAsia="方正小标宋_GBK" w:cs="方正小标宋_GBK"/>
                          <w:color w:val="000000"/>
                          <w:kern w:val="24"/>
                          <w:sz w:val="72"/>
                          <w:szCs w:val="72"/>
                          <w:lang w:val="en-US" w:eastAsia="zh-CN"/>
                        </w:rPr>
                        <w:t>国家教育教学法律法规汇编</w:t>
                      </w:r>
                    </w:p>
                    <w:p w14:paraId="188C08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outlineLvl w:val="0"/>
                        <w:rPr>
                          <w:rFonts w:hint="eastAsia" w:ascii="黑体" w:hAnsi="黑体" w:eastAsia="黑体" w:cs="黑体"/>
                          <w:b/>
                          <w:bCs/>
                          <w:i w:val="0"/>
                          <w:iCs w:val="0"/>
                          <w:caps w:val="0"/>
                          <w:color w:val="auto"/>
                          <w:spacing w:val="0"/>
                          <w:sz w:val="36"/>
                          <w:szCs w:val="36"/>
                          <w:shd w:val="clear" w:color="auto" w:fill="FFFFFF"/>
                          <w:lang w:val="en-US" w:eastAsia="zh-CN"/>
                        </w:rPr>
                      </w:pPr>
                      <w:r>
                        <w:rPr>
                          <w:rFonts w:hint="eastAsia" w:ascii="黑体" w:hAnsi="黑体" w:eastAsia="黑体" w:cs="黑体"/>
                          <w:b/>
                          <w:bCs/>
                          <w:i w:val="0"/>
                          <w:iCs w:val="0"/>
                          <w:caps w:val="0"/>
                          <w:color w:val="auto"/>
                          <w:spacing w:val="0"/>
                          <w:sz w:val="36"/>
                          <w:szCs w:val="36"/>
                          <w:shd w:val="clear" w:color="auto" w:fill="FFFFFF"/>
                          <w:lang w:val="en-US" w:eastAsia="zh-CN"/>
                        </w:rPr>
                        <w:t>第九编 教育监督管理</w:t>
                      </w:r>
                    </w:p>
                    <w:p w14:paraId="0F19115B">
                      <w:pPr>
                        <w:pStyle w:val="2"/>
                        <w:rPr>
                          <w:rFonts w:hint="eastAsia"/>
                          <w:lang w:val="en-US" w:eastAsia="zh-CN"/>
                        </w:rPr>
                      </w:pPr>
                    </w:p>
                  </w:txbxContent>
                </v:textbox>
              </v:shape>
            </w:pict>
          </mc:Fallback>
        </mc:AlternateContent>
      </w:r>
    </w:p>
    <w:p w14:paraId="63C0117C">
      <w:pPr>
        <w:jc w:val="center"/>
        <w:outlineLvl w:val="9"/>
        <w:rPr>
          <w:rFonts w:hint="eastAsia"/>
          <w:b/>
          <w:bCs/>
          <w:color w:val="auto"/>
          <w:sz w:val="56"/>
          <w:szCs w:val="56"/>
          <w:lang w:val="en-US" w:eastAsia="zh-CN"/>
        </w:rPr>
      </w:pPr>
    </w:p>
    <w:p w14:paraId="176168BE">
      <w:pPr>
        <w:jc w:val="both"/>
        <w:outlineLvl w:val="9"/>
        <w:rPr>
          <w:rFonts w:hint="eastAsia" w:ascii="宋体" w:hAnsi="宋体" w:eastAsia="宋体" w:cs="宋体"/>
          <w:b/>
          <w:bCs/>
          <w:color w:val="auto"/>
          <w:sz w:val="48"/>
          <w:szCs w:val="48"/>
          <w:lang w:val="en-US" w:eastAsia="zh-CN"/>
        </w:rPr>
      </w:pPr>
    </w:p>
    <w:p w14:paraId="054CEB4C">
      <w:pPr>
        <w:tabs>
          <w:tab w:val="left" w:pos="2726"/>
        </w:tabs>
        <w:jc w:val="both"/>
        <w:rPr>
          <w:rFonts w:hint="eastAsia" w:ascii="宋体" w:hAnsi="宋体" w:eastAsia="宋体" w:cs="宋体"/>
          <w:b/>
          <w:bCs/>
          <w:color w:val="auto"/>
          <w:sz w:val="36"/>
          <w:szCs w:val="36"/>
          <w:lang w:val="en-US" w:eastAsia="zh-CN"/>
        </w:rPr>
      </w:pPr>
    </w:p>
    <w:p w14:paraId="45789293">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55CB89B7">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31F08C82">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5487E56D">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652BE696">
      <w:pPr>
        <w:tabs>
          <w:tab w:val="left" w:pos="2726"/>
        </w:tabs>
        <w:jc w:val="center"/>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吉林动画学院校务部</w:t>
      </w:r>
    </w:p>
    <w:p w14:paraId="71B95DA5">
      <w:pPr>
        <w:tabs>
          <w:tab w:val="left" w:pos="2726"/>
        </w:tabs>
        <w:jc w:val="center"/>
        <w:rPr>
          <w:rFonts w:hint="eastAsia" w:ascii="楷体" w:hAnsi="楷体" w:eastAsia="楷体" w:cs="楷体"/>
          <w:b/>
          <w:bCs/>
          <w:color w:val="auto"/>
          <w:sz w:val="56"/>
          <w:szCs w:val="56"/>
          <w:lang w:val="en-US" w:eastAsia="zh-CN"/>
        </w:rPr>
        <w:sectPr>
          <w:footerReference r:id="rId3" w:type="default"/>
          <w:pgSz w:w="11905" w:h="16838"/>
          <w:pgMar w:top="1417" w:right="1417" w:bottom="1417" w:left="1701" w:header="850" w:footer="992" w:gutter="0"/>
          <w:pgNumType w:fmt="decimal"/>
          <w:cols w:space="720" w:num="1"/>
          <w:rtlGutter w:val="0"/>
          <w:docGrid w:type="lines" w:linePitch="318" w:charSpace="0"/>
        </w:sectPr>
      </w:pPr>
      <w:r>
        <w:rPr>
          <w:rFonts w:hint="eastAsia" w:ascii="方正仿宋简体" w:hAnsi="方正仿宋简体" w:eastAsia="方正仿宋简体" w:cs="方正仿宋简体"/>
          <w:b/>
          <w:bCs/>
          <w:color w:val="auto"/>
          <w:sz w:val="32"/>
          <w:szCs w:val="32"/>
          <w:lang w:val="en-US" w:eastAsia="zh-CN"/>
        </w:rPr>
        <w:t>（2024年编</w:t>
      </w:r>
      <w:r>
        <w:rPr>
          <w:color w:val="auto"/>
        </w:rPr>
        <mc:AlternateContent>
          <mc:Choice Requires="wps">
            <w:drawing>
              <wp:anchor distT="0" distB="0" distL="114300" distR="114300" simplePos="0" relativeHeight="251660288" behindDoc="0" locked="0" layoutInCell="1" allowOverlap="1">
                <wp:simplePos x="0" y="0"/>
                <wp:positionH relativeFrom="margin">
                  <wp:posOffset>405130</wp:posOffset>
                </wp:positionH>
                <wp:positionV relativeFrom="paragraph">
                  <wp:posOffset>8450580</wp:posOffset>
                </wp:positionV>
                <wp:extent cx="4768850" cy="594360"/>
                <wp:effectExtent l="0" t="0" r="0" b="0"/>
                <wp:wrapNone/>
                <wp:docPr id="8" name="文本框 8"/>
                <wp:cNvGraphicFramePr/>
                <a:graphic xmlns:a="http://schemas.openxmlformats.org/drawingml/2006/main">
                  <a:graphicData uri="http://schemas.microsoft.com/office/word/2010/wordprocessingShape">
                    <wps:wsp>
                      <wps:cNvSpPr txBox="1"/>
                      <wps:spPr>
                        <a:xfrm>
                          <a:off x="1395730" y="9364980"/>
                          <a:ext cx="4768850" cy="594360"/>
                        </a:xfrm>
                        <a:prstGeom prst="rect">
                          <a:avLst/>
                        </a:prstGeom>
                        <a:noFill/>
                        <a:ln>
                          <a:noFill/>
                        </a:ln>
                        <a:effectLst/>
                      </wps:spPr>
                      <wps:txbx>
                        <w:txbxContent>
                          <w:p w14:paraId="43F862AE">
                            <w:pPr>
                              <w:jc w:val="center"/>
                              <w:rPr>
                                <w:rFonts w:hint="eastAsia" w:ascii="汉仪中宋简" w:hAnsi="思源黑体 CN Normal" w:eastAsia="汉仪中宋简"/>
                                <w:color w:val="000000"/>
                                <w:kern w:val="0"/>
                                <w:sz w:val="16"/>
                                <w:szCs w:val="16"/>
                                <w:lang w:eastAsia="zh-CN"/>
                              </w:rPr>
                            </w:pPr>
                            <w:r>
                              <w:rPr>
                                <w:rFonts w:hint="eastAsia" w:ascii="汉仪中宋简" w:hAnsi="思源黑体 CN Normal" w:eastAsia="汉仪中宋简"/>
                                <w:color w:val="000000"/>
                                <w:kern w:val="24"/>
                                <w:sz w:val="28"/>
                                <w:szCs w:val="28"/>
                                <w:lang w:eastAsia="zh-CN"/>
                              </w:rPr>
                              <w:t>校务部</w:t>
                            </w:r>
                          </w:p>
                        </w:txbxContent>
                      </wps:txbx>
                      <wps:bodyPr wrap="square" lIns="0" tIns="0" rIns="0" bIns="0" rtlCol="0">
                        <a:spAutoFit/>
                      </wps:bodyPr>
                    </wps:wsp>
                  </a:graphicData>
                </a:graphic>
              </wp:anchor>
            </w:drawing>
          </mc:Choice>
          <mc:Fallback>
            <w:pict>
              <v:shape id="_x0000_s1026" o:spid="_x0000_s1026" o:spt="202" type="#_x0000_t202" style="position:absolute;left:0pt;margin-left:31.9pt;margin-top:665.4pt;height:46.8pt;width:375.5pt;mso-position-horizontal-relative:margin;z-index:251660288;mso-width-relative:page;mso-height-relative:page;" filled="f" stroked="f" coordsize="21600,21600" o:gfxdata="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dAwmdcAAAAMAQAA&#10;DwAAAAAAAAABACAAAAAiAAAAZHJzL2Rvd25yZXYueG1sUEsBAhQAFAAAAAgAh07iQDVqD6bhAQAA&#10;swMAAA4AAAAAAAAAAQAgAAAAJgEAAGRycy9lMm9Eb2MueG1sUEsFBgAAAAAGAAYAWQEAAHkFAAAA&#10;AA==&#10;">
                <v:fill on="f" focussize="0,0"/>
                <v:stroke on="f"/>
                <v:imagedata o:title=""/>
                <o:lock v:ext="edit" aspectratio="f"/>
                <v:textbox inset="0mm,0mm,0mm,0mm" style="mso-fit-shape-to-text:t;">
                  <w:txbxContent>
                    <w:p w14:paraId="43F862AE">
                      <w:pPr>
                        <w:jc w:val="center"/>
                        <w:rPr>
                          <w:rFonts w:hint="eastAsia" w:ascii="汉仪中宋简" w:hAnsi="思源黑体 CN Normal" w:eastAsia="汉仪中宋简"/>
                          <w:color w:val="000000"/>
                          <w:kern w:val="0"/>
                          <w:sz w:val="16"/>
                          <w:szCs w:val="16"/>
                          <w:lang w:eastAsia="zh-CN"/>
                        </w:rPr>
                      </w:pPr>
                      <w:r>
                        <w:rPr>
                          <w:rFonts w:hint="eastAsia" w:ascii="汉仪中宋简" w:hAnsi="思源黑体 CN Normal" w:eastAsia="汉仪中宋简"/>
                          <w:color w:val="000000"/>
                          <w:kern w:val="24"/>
                          <w:sz w:val="28"/>
                          <w:szCs w:val="28"/>
                          <w:lang w:eastAsia="zh-CN"/>
                        </w:rPr>
                        <w:t>校务部</w:t>
                      </w:r>
                    </w:p>
                  </w:txbxContent>
                </v:textbox>
              </v:shape>
            </w:pict>
          </mc:Fallback>
        </mc:AlternateContent>
      </w:r>
      <w:r>
        <w:rPr>
          <w:rFonts w:hint="eastAsia" w:ascii="方正仿宋简体" w:hAnsi="方正仿宋简体" w:eastAsia="方正仿宋简体" w:cs="方正仿宋简体"/>
          <w:b/>
          <w:bCs/>
          <w:color w:val="auto"/>
          <w:sz w:val="32"/>
          <w:szCs w:val="32"/>
          <w:lang w:val="en-US" w:eastAsia="zh-CN"/>
        </w:rPr>
        <w:t>）</w:t>
      </w:r>
    </w:p>
    <w:p w14:paraId="64EEF2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0"/>
        <w:rPr>
          <w:rFonts w:hint="eastAsia" w:ascii="黑体" w:hAnsi="黑体" w:eastAsia="黑体" w:cs="黑体"/>
          <w:i w:val="0"/>
          <w:iCs w:val="0"/>
          <w:caps w:val="0"/>
          <w:color w:val="auto"/>
          <w:spacing w:val="0"/>
          <w:sz w:val="36"/>
          <w:szCs w:val="36"/>
          <w:lang w:val="en-US" w:eastAsia="zh-CN"/>
        </w:rPr>
      </w:pPr>
      <w:r>
        <w:rPr>
          <w:rFonts w:hint="eastAsia" w:ascii="黑体" w:hAnsi="黑体" w:eastAsia="黑体" w:cs="黑体"/>
          <w:i w:val="0"/>
          <w:iCs w:val="0"/>
          <w:caps w:val="0"/>
          <w:color w:val="auto"/>
          <w:spacing w:val="0"/>
          <w:sz w:val="36"/>
          <w:szCs w:val="36"/>
          <w:lang w:val="en-US" w:eastAsia="zh-CN"/>
        </w:rPr>
        <w:t>目  录</w:t>
      </w:r>
      <w:bookmarkStart w:id="80" w:name="_GoBack"/>
      <w:bookmarkEnd w:id="80"/>
    </w:p>
    <w:p w14:paraId="66FB8EDB">
      <w:pPr>
        <w:pStyle w:val="9"/>
        <w:tabs>
          <w:tab w:val="right" w:leader="dot" w:pos="8306"/>
        </w:tabs>
        <w:rPr>
          <w:highlight w:val="darkYellow"/>
        </w:rPr>
      </w:pPr>
      <w:r>
        <w:rPr>
          <w:color w:val="auto"/>
        </w:rPr>
        <w:fldChar w:fldCharType="begin"/>
      </w:r>
      <w:r>
        <w:rPr>
          <w:color w:val="auto"/>
        </w:rPr>
        <w:instrText xml:space="preserve">TOC \o "1-2" \h \u </w:instrText>
      </w:r>
      <w:r>
        <w:rPr>
          <w:color w:val="auto"/>
        </w:rPr>
        <w:fldChar w:fldCharType="separate"/>
      </w:r>
    </w:p>
    <w:p w14:paraId="11F2705E">
      <w:pPr>
        <w:pStyle w:val="8"/>
        <w:tabs>
          <w:tab w:val="right" w:leader="dot" w:pos="8306"/>
        </w:tabs>
        <w:rPr>
          <w:highlight w:val="none"/>
        </w:rPr>
      </w:pPr>
      <w:r>
        <w:rPr>
          <w:color w:val="auto"/>
          <w:highlight w:val="none"/>
        </w:rPr>
        <w:fldChar w:fldCharType="begin"/>
      </w:r>
      <w:r>
        <w:rPr>
          <w:highlight w:val="none"/>
        </w:rPr>
        <w:instrText xml:space="preserve"> HYPERLINK \l _Toc22428 </w:instrText>
      </w:r>
      <w:r>
        <w:rPr>
          <w:highlight w:val="none"/>
        </w:rPr>
        <w:fldChar w:fldCharType="separate"/>
      </w:r>
      <w:r>
        <w:rPr>
          <w:rFonts w:hint="eastAsia" w:ascii="黑体" w:hAnsi="黑体" w:eastAsia="黑体" w:cs="黑体"/>
          <w:bCs/>
          <w:i w:val="0"/>
          <w:iCs w:val="0"/>
          <w:caps w:val="0"/>
          <w:spacing w:val="0"/>
          <w:szCs w:val="36"/>
          <w:highlight w:val="none"/>
          <w:shd w:val="clear" w:color="auto" w:fill="FFFFFF"/>
          <w:lang w:val="en-US" w:eastAsia="zh-CN"/>
        </w:rPr>
        <w:t>第九编 教育监督管理</w:t>
      </w:r>
      <w:r>
        <w:rPr>
          <w:highlight w:val="none"/>
        </w:rPr>
        <w:tab/>
      </w:r>
      <w:r>
        <w:rPr>
          <w:highlight w:val="none"/>
        </w:rPr>
        <w:fldChar w:fldCharType="begin"/>
      </w:r>
      <w:r>
        <w:rPr>
          <w:highlight w:val="none"/>
        </w:rPr>
        <w:instrText xml:space="preserve"> PAGEREF _Toc22428 \h </w:instrText>
      </w:r>
      <w:r>
        <w:rPr>
          <w:highlight w:val="none"/>
        </w:rPr>
        <w:fldChar w:fldCharType="separate"/>
      </w:r>
      <w:r>
        <w:rPr>
          <w:highlight w:val="none"/>
        </w:rPr>
        <w:t>1</w:t>
      </w:r>
      <w:r>
        <w:rPr>
          <w:highlight w:val="none"/>
        </w:rPr>
        <w:fldChar w:fldCharType="end"/>
      </w:r>
      <w:r>
        <w:rPr>
          <w:color w:val="auto"/>
          <w:highlight w:val="none"/>
        </w:rPr>
        <w:fldChar w:fldCharType="end"/>
      </w:r>
    </w:p>
    <w:p w14:paraId="018C0F1D">
      <w:pPr>
        <w:pStyle w:val="9"/>
        <w:tabs>
          <w:tab w:val="right" w:leader="dot" w:pos="8306"/>
        </w:tabs>
        <w:rPr>
          <w:highlight w:val="none"/>
        </w:rPr>
      </w:pPr>
      <w:r>
        <w:rPr>
          <w:rFonts w:hint="eastAsia"/>
          <w:color w:val="auto"/>
          <w:highlight w:val="none"/>
          <w:lang w:val="en-US" w:eastAsia="zh-CN"/>
        </w:rPr>
        <w:t>9.1</w:t>
      </w:r>
      <w:r>
        <w:rPr>
          <w:color w:val="auto"/>
          <w:highlight w:val="none"/>
        </w:rPr>
        <w:fldChar w:fldCharType="begin"/>
      </w:r>
      <w:r>
        <w:rPr>
          <w:highlight w:val="none"/>
        </w:rPr>
        <w:instrText xml:space="preserve"> HYPERLINK \l _Toc26803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普通高等学校教育评估暂行规定</w:t>
      </w:r>
      <w:r>
        <w:rPr>
          <w:highlight w:val="none"/>
        </w:rPr>
        <w:tab/>
      </w:r>
      <w:r>
        <w:rPr>
          <w:highlight w:val="none"/>
        </w:rPr>
        <w:fldChar w:fldCharType="begin"/>
      </w:r>
      <w:r>
        <w:rPr>
          <w:highlight w:val="none"/>
        </w:rPr>
        <w:instrText xml:space="preserve"> PAGEREF _Toc26803 \h </w:instrText>
      </w:r>
      <w:r>
        <w:rPr>
          <w:highlight w:val="none"/>
        </w:rPr>
        <w:fldChar w:fldCharType="separate"/>
      </w:r>
      <w:r>
        <w:rPr>
          <w:highlight w:val="none"/>
        </w:rPr>
        <w:t>1</w:t>
      </w:r>
      <w:r>
        <w:rPr>
          <w:highlight w:val="none"/>
        </w:rPr>
        <w:fldChar w:fldCharType="end"/>
      </w:r>
      <w:r>
        <w:rPr>
          <w:color w:val="auto"/>
          <w:highlight w:val="none"/>
        </w:rPr>
        <w:fldChar w:fldCharType="end"/>
      </w:r>
    </w:p>
    <w:p w14:paraId="76E10ED3">
      <w:pPr>
        <w:pStyle w:val="9"/>
        <w:tabs>
          <w:tab w:val="right" w:leader="dot" w:pos="8306"/>
        </w:tabs>
        <w:rPr>
          <w:highlight w:val="none"/>
        </w:rPr>
      </w:pPr>
      <w:r>
        <w:rPr>
          <w:rFonts w:hint="eastAsia"/>
          <w:color w:val="auto"/>
          <w:highlight w:val="none"/>
          <w:lang w:val="en-US" w:eastAsia="zh-CN"/>
        </w:rPr>
        <w:t>9.2</w:t>
      </w:r>
      <w:r>
        <w:rPr>
          <w:color w:val="auto"/>
          <w:highlight w:val="none"/>
        </w:rPr>
        <w:fldChar w:fldCharType="begin"/>
      </w:r>
      <w:r>
        <w:rPr>
          <w:highlight w:val="none"/>
        </w:rPr>
        <w:instrText xml:space="preserve"> HYPERLINK \l _Toc8456 </w:instrText>
      </w:r>
      <w:r>
        <w:rPr>
          <w:highlight w:val="none"/>
        </w:rPr>
        <w:fldChar w:fldCharType="separate"/>
      </w:r>
      <w:r>
        <w:rPr>
          <w:rFonts w:hint="eastAsia" w:ascii="宋体" w:hAnsi="宋体" w:eastAsia="宋体" w:cs="宋体"/>
          <w:bCs w:val="0"/>
          <w:i w:val="0"/>
          <w:iCs w:val="0"/>
          <w:caps w:val="0"/>
          <w:spacing w:val="0"/>
          <w:szCs w:val="36"/>
          <w:highlight w:val="none"/>
          <w:shd w:val="clear" w:color="auto" w:fill="FFFFFF"/>
        </w:rPr>
        <w:t>学位论文作假行为处理办法</w:t>
      </w:r>
      <w:r>
        <w:rPr>
          <w:highlight w:val="none"/>
        </w:rPr>
        <w:tab/>
      </w:r>
      <w:r>
        <w:rPr>
          <w:highlight w:val="none"/>
        </w:rPr>
        <w:fldChar w:fldCharType="begin"/>
      </w:r>
      <w:r>
        <w:rPr>
          <w:highlight w:val="none"/>
        </w:rPr>
        <w:instrText xml:space="preserve"> PAGEREF _Toc8456 \h </w:instrText>
      </w:r>
      <w:r>
        <w:rPr>
          <w:highlight w:val="none"/>
        </w:rPr>
        <w:fldChar w:fldCharType="separate"/>
      </w:r>
      <w:r>
        <w:rPr>
          <w:highlight w:val="none"/>
        </w:rPr>
        <w:t>5</w:t>
      </w:r>
      <w:r>
        <w:rPr>
          <w:highlight w:val="none"/>
        </w:rPr>
        <w:fldChar w:fldCharType="end"/>
      </w:r>
      <w:r>
        <w:rPr>
          <w:color w:val="auto"/>
          <w:highlight w:val="none"/>
        </w:rPr>
        <w:fldChar w:fldCharType="end"/>
      </w:r>
    </w:p>
    <w:p w14:paraId="0D334150">
      <w:pPr>
        <w:pStyle w:val="9"/>
        <w:tabs>
          <w:tab w:val="right" w:leader="dot" w:pos="8306"/>
        </w:tabs>
        <w:rPr>
          <w:highlight w:val="none"/>
        </w:rPr>
      </w:pPr>
      <w:r>
        <w:rPr>
          <w:rFonts w:hint="eastAsia"/>
          <w:color w:val="auto"/>
          <w:highlight w:val="none"/>
          <w:lang w:val="en-US" w:eastAsia="zh-CN"/>
        </w:rPr>
        <w:t>9.3</w:t>
      </w:r>
      <w:r>
        <w:rPr>
          <w:color w:val="auto"/>
          <w:highlight w:val="none"/>
        </w:rPr>
        <w:fldChar w:fldCharType="begin"/>
      </w:r>
      <w:r>
        <w:rPr>
          <w:highlight w:val="none"/>
        </w:rPr>
        <w:instrText xml:space="preserve"> HYPERLINK \l _Toc13484 </w:instrText>
      </w:r>
      <w:r>
        <w:rPr>
          <w:highlight w:val="none"/>
        </w:rPr>
        <w:fldChar w:fldCharType="separate"/>
      </w:r>
      <w:r>
        <w:rPr>
          <w:rFonts w:hint="eastAsia" w:ascii="宋体" w:hAnsi="宋体" w:eastAsia="宋体" w:cs="宋体"/>
          <w:i w:val="0"/>
          <w:iCs w:val="0"/>
          <w:caps w:val="0"/>
          <w:spacing w:val="0"/>
          <w:szCs w:val="36"/>
          <w:highlight w:val="none"/>
          <w:shd w:val="clear" w:color="auto" w:fill="FFFFFF"/>
        </w:rPr>
        <w:t>普通高等学校招生违规行为处理暂行办法</w:t>
      </w:r>
      <w:r>
        <w:rPr>
          <w:highlight w:val="none"/>
        </w:rPr>
        <w:tab/>
      </w:r>
      <w:r>
        <w:rPr>
          <w:highlight w:val="none"/>
        </w:rPr>
        <w:fldChar w:fldCharType="begin"/>
      </w:r>
      <w:r>
        <w:rPr>
          <w:highlight w:val="none"/>
        </w:rPr>
        <w:instrText xml:space="preserve"> PAGEREF _Toc13484 \h </w:instrText>
      </w:r>
      <w:r>
        <w:rPr>
          <w:highlight w:val="none"/>
        </w:rPr>
        <w:fldChar w:fldCharType="separate"/>
      </w:r>
      <w:r>
        <w:rPr>
          <w:highlight w:val="none"/>
        </w:rPr>
        <w:t>7</w:t>
      </w:r>
      <w:r>
        <w:rPr>
          <w:highlight w:val="none"/>
        </w:rPr>
        <w:fldChar w:fldCharType="end"/>
      </w:r>
      <w:r>
        <w:rPr>
          <w:color w:val="auto"/>
          <w:highlight w:val="none"/>
        </w:rPr>
        <w:fldChar w:fldCharType="end"/>
      </w:r>
    </w:p>
    <w:p w14:paraId="6E93AD41">
      <w:pPr>
        <w:pStyle w:val="9"/>
        <w:tabs>
          <w:tab w:val="right" w:leader="dot" w:pos="8306"/>
        </w:tabs>
        <w:rPr>
          <w:highlight w:val="none"/>
        </w:rPr>
      </w:pPr>
      <w:r>
        <w:rPr>
          <w:rFonts w:hint="eastAsia"/>
          <w:color w:val="auto"/>
          <w:highlight w:val="none"/>
          <w:lang w:val="en-US" w:eastAsia="zh-CN"/>
        </w:rPr>
        <w:t>9.4</w:t>
      </w:r>
      <w:r>
        <w:rPr>
          <w:color w:val="auto"/>
          <w:highlight w:val="none"/>
        </w:rPr>
        <w:fldChar w:fldCharType="begin"/>
      </w:r>
      <w:r>
        <w:rPr>
          <w:highlight w:val="none"/>
        </w:rPr>
        <w:instrText xml:space="preserve"> HYPERLINK \l _Toc1411 </w:instrText>
      </w:r>
      <w:r>
        <w:rPr>
          <w:highlight w:val="none"/>
        </w:rPr>
        <w:fldChar w:fldCharType="separate"/>
      </w:r>
      <w:r>
        <w:rPr>
          <w:rFonts w:hint="eastAsia" w:ascii="宋体" w:hAnsi="宋体" w:eastAsia="宋体" w:cs="宋体"/>
          <w:bCs/>
          <w:i w:val="0"/>
          <w:iCs w:val="0"/>
          <w:caps w:val="0"/>
          <w:spacing w:val="0"/>
          <w:szCs w:val="36"/>
          <w:highlight w:val="none"/>
        </w:rPr>
        <w:t>国家教育考试违规处理办法</w:t>
      </w:r>
      <w:r>
        <w:rPr>
          <w:highlight w:val="none"/>
        </w:rPr>
        <w:tab/>
      </w:r>
      <w:r>
        <w:rPr>
          <w:highlight w:val="none"/>
        </w:rPr>
        <w:fldChar w:fldCharType="begin"/>
      </w:r>
      <w:r>
        <w:rPr>
          <w:highlight w:val="none"/>
        </w:rPr>
        <w:instrText xml:space="preserve"> PAGEREF _Toc1411 \h </w:instrText>
      </w:r>
      <w:r>
        <w:rPr>
          <w:highlight w:val="none"/>
        </w:rPr>
        <w:fldChar w:fldCharType="separate"/>
      </w:r>
      <w:r>
        <w:rPr>
          <w:highlight w:val="none"/>
        </w:rPr>
        <w:t>10</w:t>
      </w:r>
      <w:r>
        <w:rPr>
          <w:highlight w:val="none"/>
        </w:rPr>
        <w:fldChar w:fldCharType="end"/>
      </w:r>
      <w:r>
        <w:rPr>
          <w:color w:val="auto"/>
          <w:highlight w:val="none"/>
        </w:rPr>
        <w:fldChar w:fldCharType="end"/>
      </w:r>
    </w:p>
    <w:p w14:paraId="7DE30B54">
      <w:pPr>
        <w:pStyle w:val="9"/>
        <w:tabs>
          <w:tab w:val="right" w:leader="dot" w:pos="8306"/>
        </w:tabs>
        <w:rPr>
          <w:highlight w:val="none"/>
        </w:rPr>
      </w:pPr>
      <w:r>
        <w:rPr>
          <w:rFonts w:hint="eastAsia"/>
          <w:color w:val="auto"/>
          <w:highlight w:val="none"/>
          <w:lang w:val="en-US" w:eastAsia="zh-CN"/>
        </w:rPr>
        <w:t>9.5</w:t>
      </w:r>
      <w:r>
        <w:rPr>
          <w:color w:val="auto"/>
          <w:highlight w:val="none"/>
        </w:rPr>
        <w:fldChar w:fldCharType="begin"/>
      </w:r>
      <w:r>
        <w:rPr>
          <w:highlight w:val="none"/>
        </w:rPr>
        <w:instrText xml:space="preserve"> HYPERLINK \l _Toc27304 </w:instrText>
      </w:r>
      <w:r>
        <w:rPr>
          <w:highlight w:val="none"/>
        </w:rPr>
        <w:fldChar w:fldCharType="separate"/>
      </w:r>
      <w:r>
        <w:rPr>
          <w:rFonts w:hint="eastAsia" w:ascii="宋体" w:hAnsi="宋体" w:eastAsia="宋体" w:cs="宋体"/>
          <w:bCs w:val="0"/>
          <w:i w:val="0"/>
          <w:iCs w:val="0"/>
          <w:caps w:val="0"/>
          <w:spacing w:val="0"/>
          <w:szCs w:val="36"/>
          <w:highlight w:val="none"/>
          <w:shd w:val="clear" w:color="auto" w:fill="FFFFFF"/>
        </w:rPr>
        <w:t>高等学校预防与处理学术不端行为办法</w:t>
      </w:r>
      <w:r>
        <w:rPr>
          <w:highlight w:val="none"/>
        </w:rPr>
        <w:tab/>
      </w:r>
      <w:r>
        <w:rPr>
          <w:highlight w:val="none"/>
        </w:rPr>
        <w:fldChar w:fldCharType="begin"/>
      </w:r>
      <w:r>
        <w:rPr>
          <w:highlight w:val="none"/>
        </w:rPr>
        <w:instrText xml:space="preserve"> PAGEREF _Toc27304 \h </w:instrText>
      </w:r>
      <w:r>
        <w:rPr>
          <w:highlight w:val="none"/>
        </w:rPr>
        <w:fldChar w:fldCharType="separate"/>
      </w:r>
      <w:r>
        <w:rPr>
          <w:highlight w:val="none"/>
        </w:rPr>
        <w:t>15</w:t>
      </w:r>
      <w:r>
        <w:rPr>
          <w:highlight w:val="none"/>
        </w:rPr>
        <w:fldChar w:fldCharType="end"/>
      </w:r>
      <w:r>
        <w:rPr>
          <w:color w:val="auto"/>
          <w:highlight w:val="none"/>
        </w:rPr>
        <w:fldChar w:fldCharType="end"/>
      </w:r>
    </w:p>
    <w:p w14:paraId="719E23EE">
      <w:pPr>
        <w:pStyle w:val="9"/>
        <w:tabs>
          <w:tab w:val="right" w:leader="dot" w:pos="8306"/>
        </w:tabs>
        <w:rPr>
          <w:highlight w:val="none"/>
        </w:rPr>
      </w:pPr>
      <w:r>
        <w:rPr>
          <w:rFonts w:hint="eastAsia"/>
          <w:color w:val="auto"/>
          <w:highlight w:val="none"/>
          <w:lang w:val="en-US" w:eastAsia="zh-CN"/>
        </w:rPr>
        <w:t>9.6</w:t>
      </w:r>
      <w:r>
        <w:rPr>
          <w:color w:val="auto"/>
          <w:highlight w:val="none"/>
        </w:rPr>
        <w:fldChar w:fldCharType="begin"/>
      </w:r>
      <w:r>
        <w:rPr>
          <w:highlight w:val="none"/>
        </w:rPr>
        <w:instrText xml:space="preserve"> HYPERLINK \l _Toc874 </w:instrText>
      </w:r>
      <w:r>
        <w:rPr>
          <w:highlight w:val="none"/>
        </w:rPr>
        <w:fldChar w:fldCharType="separate"/>
      </w:r>
      <w:r>
        <w:rPr>
          <w:rFonts w:hint="eastAsia" w:ascii="宋体" w:hAnsi="宋体" w:eastAsia="宋体" w:cs="宋体"/>
          <w:bCs w:val="0"/>
          <w:i w:val="0"/>
          <w:iCs w:val="0"/>
          <w:caps w:val="0"/>
          <w:spacing w:val="0"/>
          <w:kern w:val="0"/>
          <w:szCs w:val="36"/>
          <w:highlight w:val="none"/>
          <w:shd w:val="clear" w:color="auto" w:fill="FFFFFF"/>
          <w:lang w:val="en-US" w:eastAsia="zh-CN" w:bidi="ar"/>
        </w:rPr>
        <w:t>财政部关于印发《政府会计制度——行政事业单位会计科目和报表》的通知</w:t>
      </w:r>
      <w:r>
        <w:rPr>
          <w:highlight w:val="none"/>
        </w:rPr>
        <w:tab/>
      </w:r>
      <w:r>
        <w:rPr>
          <w:highlight w:val="none"/>
        </w:rPr>
        <w:fldChar w:fldCharType="begin"/>
      </w:r>
      <w:r>
        <w:rPr>
          <w:highlight w:val="none"/>
        </w:rPr>
        <w:instrText xml:space="preserve"> PAGEREF _Toc874 \h </w:instrText>
      </w:r>
      <w:r>
        <w:rPr>
          <w:highlight w:val="none"/>
        </w:rPr>
        <w:fldChar w:fldCharType="separate"/>
      </w:r>
      <w:r>
        <w:rPr>
          <w:highlight w:val="none"/>
        </w:rPr>
        <w:t>20</w:t>
      </w:r>
      <w:r>
        <w:rPr>
          <w:highlight w:val="none"/>
        </w:rPr>
        <w:fldChar w:fldCharType="end"/>
      </w:r>
      <w:r>
        <w:rPr>
          <w:color w:val="auto"/>
          <w:highlight w:val="none"/>
        </w:rPr>
        <w:fldChar w:fldCharType="end"/>
      </w:r>
    </w:p>
    <w:p w14:paraId="39D90DBA">
      <w:pPr>
        <w:pStyle w:val="9"/>
        <w:tabs>
          <w:tab w:val="right" w:leader="dot" w:pos="8306"/>
        </w:tabs>
        <w:rPr>
          <w:highlight w:val="none"/>
        </w:rPr>
      </w:pPr>
      <w:r>
        <w:rPr>
          <w:rFonts w:hint="eastAsia"/>
          <w:color w:val="auto"/>
          <w:highlight w:val="none"/>
          <w:lang w:val="en-US" w:eastAsia="zh-CN"/>
        </w:rPr>
        <w:t>9.7</w:t>
      </w:r>
      <w:r>
        <w:rPr>
          <w:color w:val="auto"/>
          <w:highlight w:val="none"/>
        </w:rPr>
        <w:fldChar w:fldCharType="begin"/>
      </w:r>
      <w:r>
        <w:rPr>
          <w:highlight w:val="none"/>
        </w:rPr>
        <w:instrText xml:space="preserve"> HYPERLINK \l _Toc13055 </w:instrText>
      </w:r>
      <w:r>
        <w:rPr>
          <w:highlight w:val="none"/>
        </w:rPr>
        <w:fldChar w:fldCharType="separate"/>
      </w:r>
      <w:r>
        <w:rPr>
          <w:rFonts w:hint="eastAsia" w:ascii="宋体" w:hAnsi="宋体" w:eastAsia="宋体" w:cs="宋体"/>
          <w:bCs w:val="0"/>
          <w:i w:val="0"/>
          <w:iCs w:val="0"/>
          <w:caps w:val="0"/>
          <w:spacing w:val="0"/>
          <w:kern w:val="0"/>
          <w:szCs w:val="36"/>
          <w:highlight w:val="none"/>
          <w:shd w:val="clear" w:color="auto" w:fill="FFFFFF"/>
          <w:lang w:val="en-US" w:eastAsia="zh-CN" w:bidi="ar"/>
        </w:rPr>
        <w:t>财政部关于印发《民间非营利组织会计制度》的通知</w:t>
      </w:r>
      <w:r>
        <w:rPr>
          <w:highlight w:val="none"/>
        </w:rPr>
        <w:tab/>
      </w:r>
      <w:r>
        <w:rPr>
          <w:highlight w:val="none"/>
        </w:rPr>
        <w:fldChar w:fldCharType="begin"/>
      </w:r>
      <w:r>
        <w:rPr>
          <w:highlight w:val="none"/>
        </w:rPr>
        <w:instrText xml:space="preserve"> PAGEREF _Toc13055 \h </w:instrText>
      </w:r>
      <w:r>
        <w:rPr>
          <w:highlight w:val="none"/>
        </w:rPr>
        <w:fldChar w:fldCharType="separate"/>
      </w:r>
      <w:r>
        <w:rPr>
          <w:highlight w:val="none"/>
        </w:rPr>
        <w:t>21</w:t>
      </w:r>
      <w:r>
        <w:rPr>
          <w:highlight w:val="none"/>
        </w:rPr>
        <w:fldChar w:fldCharType="end"/>
      </w:r>
      <w:r>
        <w:rPr>
          <w:color w:val="auto"/>
          <w:highlight w:val="none"/>
        </w:rPr>
        <w:fldChar w:fldCharType="end"/>
      </w:r>
    </w:p>
    <w:p w14:paraId="390727A6">
      <w:pPr>
        <w:pStyle w:val="9"/>
        <w:tabs>
          <w:tab w:val="right" w:leader="dot" w:pos="8306"/>
        </w:tabs>
        <w:rPr>
          <w:highlight w:val="none"/>
        </w:rPr>
      </w:pPr>
      <w:r>
        <w:rPr>
          <w:rFonts w:hint="eastAsia"/>
          <w:color w:val="auto"/>
          <w:highlight w:val="none"/>
          <w:lang w:val="en-US" w:eastAsia="zh-CN"/>
        </w:rPr>
        <w:t>9.8</w:t>
      </w:r>
      <w:r>
        <w:rPr>
          <w:color w:val="auto"/>
          <w:highlight w:val="none"/>
        </w:rPr>
        <w:fldChar w:fldCharType="begin"/>
      </w:r>
      <w:r>
        <w:rPr>
          <w:highlight w:val="none"/>
        </w:rPr>
        <w:instrText xml:space="preserve"> HYPERLINK \l _Toc32610 </w:instrText>
      </w:r>
      <w:r>
        <w:rPr>
          <w:highlight w:val="none"/>
        </w:rPr>
        <w:fldChar w:fldCharType="separate"/>
      </w:r>
      <w:r>
        <w:rPr>
          <w:rFonts w:hint="eastAsia" w:ascii="宋体" w:hAnsi="宋体" w:eastAsia="宋体" w:cs="宋体"/>
          <w:bCs w:val="0"/>
          <w:i w:val="0"/>
          <w:iCs w:val="0"/>
          <w:caps w:val="0"/>
          <w:spacing w:val="0"/>
          <w:szCs w:val="36"/>
          <w:highlight w:val="none"/>
          <w:shd w:val="clear" w:color="auto" w:fill="FFFFFF"/>
        </w:rPr>
        <w:t>教育系统内部审计工作规定</w:t>
      </w:r>
      <w:r>
        <w:rPr>
          <w:highlight w:val="none"/>
        </w:rPr>
        <w:tab/>
      </w:r>
      <w:r>
        <w:rPr>
          <w:highlight w:val="none"/>
        </w:rPr>
        <w:fldChar w:fldCharType="begin"/>
      </w:r>
      <w:r>
        <w:rPr>
          <w:highlight w:val="none"/>
        </w:rPr>
        <w:instrText xml:space="preserve"> PAGEREF _Toc32610 \h </w:instrText>
      </w:r>
      <w:r>
        <w:rPr>
          <w:highlight w:val="none"/>
        </w:rPr>
        <w:fldChar w:fldCharType="separate"/>
      </w:r>
      <w:r>
        <w:rPr>
          <w:highlight w:val="none"/>
        </w:rPr>
        <w:t>37</w:t>
      </w:r>
      <w:r>
        <w:rPr>
          <w:highlight w:val="none"/>
        </w:rPr>
        <w:fldChar w:fldCharType="end"/>
      </w:r>
      <w:r>
        <w:rPr>
          <w:color w:val="auto"/>
          <w:highlight w:val="none"/>
        </w:rPr>
        <w:fldChar w:fldCharType="end"/>
      </w:r>
    </w:p>
    <w:p w14:paraId="7D8255F8">
      <w:pPr>
        <w:pStyle w:val="9"/>
        <w:tabs>
          <w:tab w:val="right" w:leader="dot" w:pos="8306"/>
        </w:tabs>
        <w:rPr>
          <w:highlight w:val="none"/>
        </w:rPr>
      </w:pPr>
      <w:r>
        <w:rPr>
          <w:rFonts w:hint="eastAsia"/>
          <w:color w:val="auto"/>
          <w:highlight w:val="none"/>
          <w:lang w:val="en-US" w:eastAsia="zh-CN"/>
        </w:rPr>
        <w:t>9.9</w:t>
      </w:r>
      <w:r>
        <w:rPr>
          <w:color w:val="auto"/>
          <w:highlight w:val="none"/>
        </w:rPr>
        <w:fldChar w:fldCharType="begin"/>
      </w:r>
      <w:r>
        <w:rPr>
          <w:highlight w:val="none"/>
        </w:rPr>
        <w:instrText xml:space="preserve"> HYPERLINK \l _Toc28358 </w:instrText>
      </w:r>
      <w:r>
        <w:rPr>
          <w:highlight w:val="none"/>
        </w:rPr>
        <w:fldChar w:fldCharType="separate"/>
      </w:r>
      <w:r>
        <w:rPr>
          <w:rFonts w:hint="eastAsia" w:ascii="宋体" w:hAnsi="宋体" w:eastAsia="宋体" w:cs="宋体"/>
          <w:bCs w:val="0"/>
          <w:i w:val="0"/>
          <w:iCs w:val="0"/>
          <w:caps w:val="0"/>
          <w:spacing w:val="0"/>
          <w:szCs w:val="36"/>
          <w:highlight w:val="none"/>
          <w:shd w:val="clear" w:color="auto" w:fill="FFFFFF"/>
        </w:rPr>
        <w:t>教育信访工作办法</w:t>
      </w:r>
      <w:r>
        <w:rPr>
          <w:highlight w:val="none"/>
        </w:rPr>
        <w:tab/>
      </w:r>
      <w:r>
        <w:rPr>
          <w:highlight w:val="none"/>
        </w:rPr>
        <w:fldChar w:fldCharType="begin"/>
      </w:r>
      <w:r>
        <w:rPr>
          <w:highlight w:val="none"/>
        </w:rPr>
        <w:instrText xml:space="preserve"> PAGEREF _Toc28358 \h </w:instrText>
      </w:r>
      <w:r>
        <w:rPr>
          <w:highlight w:val="none"/>
        </w:rPr>
        <w:fldChar w:fldCharType="separate"/>
      </w:r>
      <w:r>
        <w:rPr>
          <w:highlight w:val="none"/>
        </w:rPr>
        <w:t>41</w:t>
      </w:r>
      <w:r>
        <w:rPr>
          <w:highlight w:val="none"/>
        </w:rPr>
        <w:fldChar w:fldCharType="end"/>
      </w:r>
      <w:r>
        <w:rPr>
          <w:color w:val="auto"/>
          <w:highlight w:val="none"/>
        </w:rPr>
        <w:fldChar w:fldCharType="end"/>
      </w:r>
    </w:p>
    <w:p w14:paraId="09DB8FB3">
      <w:pPr>
        <w:pStyle w:val="9"/>
        <w:tabs>
          <w:tab w:val="right" w:leader="dot" w:pos="8306"/>
        </w:tabs>
        <w:rPr>
          <w:highlight w:val="none"/>
        </w:rPr>
      </w:pPr>
      <w:r>
        <w:rPr>
          <w:rFonts w:hint="eastAsia"/>
          <w:color w:val="auto"/>
          <w:highlight w:val="none"/>
          <w:lang w:val="en-US" w:eastAsia="zh-CN"/>
        </w:rPr>
        <w:t>9.10</w:t>
      </w:r>
      <w:r>
        <w:rPr>
          <w:color w:val="auto"/>
          <w:highlight w:val="none"/>
        </w:rPr>
        <w:fldChar w:fldCharType="begin"/>
      </w:r>
      <w:r>
        <w:rPr>
          <w:highlight w:val="none"/>
        </w:rPr>
        <w:instrText xml:space="preserve"> HYPERLINK \l _Toc12577 </w:instrText>
      </w:r>
      <w:r>
        <w:rPr>
          <w:highlight w:val="none"/>
        </w:rPr>
        <w:fldChar w:fldCharType="separate"/>
      </w:r>
      <w:r>
        <w:rPr>
          <w:rFonts w:hint="eastAsia" w:ascii="宋体" w:hAnsi="宋体" w:eastAsia="宋体" w:cs="宋体"/>
          <w:i w:val="0"/>
          <w:iCs w:val="0"/>
          <w:caps w:val="0"/>
          <w:spacing w:val="0"/>
          <w:szCs w:val="36"/>
          <w:highlight w:val="none"/>
        </w:rPr>
        <w:t>财政部 教育部关于印发《高等学校财务制度》的通知</w:t>
      </w:r>
      <w:r>
        <w:rPr>
          <w:highlight w:val="none"/>
        </w:rPr>
        <w:tab/>
      </w:r>
      <w:r>
        <w:rPr>
          <w:highlight w:val="none"/>
        </w:rPr>
        <w:fldChar w:fldCharType="begin"/>
      </w:r>
      <w:r>
        <w:rPr>
          <w:highlight w:val="none"/>
        </w:rPr>
        <w:instrText xml:space="preserve"> PAGEREF _Toc12577 \h </w:instrText>
      </w:r>
      <w:r>
        <w:rPr>
          <w:highlight w:val="none"/>
        </w:rPr>
        <w:fldChar w:fldCharType="separate"/>
      </w:r>
      <w:r>
        <w:rPr>
          <w:highlight w:val="none"/>
        </w:rPr>
        <w:t>48</w:t>
      </w:r>
      <w:r>
        <w:rPr>
          <w:highlight w:val="none"/>
        </w:rPr>
        <w:fldChar w:fldCharType="end"/>
      </w:r>
      <w:r>
        <w:rPr>
          <w:color w:val="auto"/>
          <w:highlight w:val="none"/>
        </w:rPr>
        <w:fldChar w:fldCharType="end"/>
      </w:r>
    </w:p>
    <w:p w14:paraId="14AB68A3">
      <w:pPr>
        <w:pStyle w:val="9"/>
        <w:tabs>
          <w:tab w:val="right" w:leader="dot" w:pos="8306"/>
        </w:tabs>
        <w:rPr>
          <w:highlight w:val="none"/>
        </w:rPr>
      </w:pPr>
      <w:r>
        <w:rPr>
          <w:rFonts w:hint="eastAsia"/>
          <w:color w:val="auto"/>
          <w:highlight w:val="none"/>
          <w:lang w:val="en-US" w:eastAsia="zh-CN"/>
        </w:rPr>
        <w:t>9.11</w:t>
      </w:r>
      <w:r>
        <w:rPr>
          <w:color w:val="auto"/>
          <w:highlight w:val="none"/>
        </w:rPr>
        <w:fldChar w:fldCharType="begin"/>
      </w:r>
      <w:r>
        <w:rPr>
          <w:highlight w:val="none"/>
        </w:rPr>
        <w:instrText xml:space="preserve"> HYPERLINK \l _Toc19948 </w:instrText>
      </w:r>
      <w:r>
        <w:rPr>
          <w:highlight w:val="none"/>
        </w:rPr>
        <w:fldChar w:fldCharType="separate"/>
      </w:r>
      <w:r>
        <w:rPr>
          <w:rFonts w:hint="eastAsia" w:ascii="宋体" w:hAnsi="宋体" w:eastAsia="宋体" w:cs="宋体"/>
          <w:i w:val="0"/>
          <w:iCs w:val="0"/>
          <w:caps w:val="0"/>
          <w:spacing w:val="0"/>
          <w:szCs w:val="36"/>
          <w:highlight w:val="none"/>
        </w:rPr>
        <w:t>最高人民法院 最高人民检察院 教育部印发《关于落实从业禁止制度的意见》的通知</w:t>
      </w:r>
      <w:r>
        <w:rPr>
          <w:highlight w:val="none"/>
        </w:rPr>
        <w:tab/>
      </w:r>
      <w:r>
        <w:rPr>
          <w:highlight w:val="none"/>
        </w:rPr>
        <w:fldChar w:fldCharType="begin"/>
      </w:r>
      <w:r>
        <w:rPr>
          <w:highlight w:val="none"/>
        </w:rPr>
        <w:instrText xml:space="preserve"> PAGEREF _Toc19948 \h </w:instrText>
      </w:r>
      <w:r>
        <w:rPr>
          <w:highlight w:val="none"/>
        </w:rPr>
        <w:fldChar w:fldCharType="separate"/>
      </w:r>
      <w:r>
        <w:rPr>
          <w:highlight w:val="none"/>
        </w:rPr>
        <w:t>56</w:t>
      </w:r>
      <w:r>
        <w:rPr>
          <w:highlight w:val="none"/>
        </w:rPr>
        <w:fldChar w:fldCharType="end"/>
      </w:r>
      <w:r>
        <w:rPr>
          <w:color w:val="auto"/>
          <w:highlight w:val="none"/>
        </w:rPr>
        <w:fldChar w:fldCharType="end"/>
      </w:r>
    </w:p>
    <w:p w14:paraId="4E6B46BC">
      <w:pPr>
        <w:pStyle w:val="9"/>
        <w:tabs>
          <w:tab w:val="right" w:leader="dot" w:pos="8306"/>
        </w:tabs>
        <w:rPr>
          <w:highlight w:val="none"/>
        </w:rPr>
      </w:pPr>
      <w:r>
        <w:rPr>
          <w:rFonts w:hint="eastAsia"/>
          <w:color w:val="auto"/>
          <w:highlight w:val="none"/>
          <w:lang w:val="en-US" w:eastAsia="zh-CN"/>
        </w:rPr>
        <w:t>9.12</w:t>
      </w:r>
      <w:r>
        <w:rPr>
          <w:color w:val="auto"/>
          <w:highlight w:val="none"/>
        </w:rPr>
        <w:fldChar w:fldCharType="begin"/>
      </w:r>
      <w:r>
        <w:rPr>
          <w:highlight w:val="none"/>
        </w:rPr>
        <w:instrText xml:space="preserve"> HYPERLINK \l _Toc19367 </w:instrText>
      </w:r>
      <w:r>
        <w:rPr>
          <w:highlight w:val="none"/>
        </w:rPr>
        <w:fldChar w:fldCharType="separate"/>
      </w:r>
      <w:r>
        <w:rPr>
          <w:rFonts w:hint="eastAsia" w:ascii="宋体" w:hAnsi="宋体" w:eastAsia="宋体" w:cs="宋体"/>
          <w:i w:val="0"/>
          <w:iCs w:val="0"/>
          <w:caps w:val="0"/>
          <w:spacing w:val="0"/>
          <w:szCs w:val="36"/>
          <w:highlight w:val="none"/>
          <w:shd w:val="clear" w:color="auto" w:fill="FFFFFF"/>
        </w:rPr>
        <w:t>教育部等五部门关于完善安全事故处理机制维护学校教育教学秩序的意见</w:t>
      </w:r>
      <w:r>
        <w:rPr>
          <w:highlight w:val="none"/>
        </w:rPr>
        <w:tab/>
      </w:r>
      <w:r>
        <w:rPr>
          <w:highlight w:val="none"/>
        </w:rPr>
        <w:fldChar w:fldCharType="begin"/>
      </w:r>
      <w:r>
        <w:rPr>
          <w:highlight w:val="none"/>
        </w:rPr>
        <w:instrText xml:space="preserve"> PAGEREF _Toc19367 \h </w:instrText>
      </w:r>
      <w:r>
        <w:rPr>
          <w:highlight w:val="none"/>
        </w:rPr>
        <w:fldChar w:fldCharType="separate"/>
      </w:r>
      <w:r>
        <w:rPr>
          <w:highlight w:val="none"/>
        </w:rPr>
        <w:t>59</w:t>
      </w:r>
      <w:r>
        <w:rPr>
          <w:highlight w:val="none"/>
        </w:rPr>
        <w:fldChar w:fldCharType="end"/>
      </w:r>
      <w:r>
        <w:rPr>
          <w:color w:val="auto"/>
          <w:highlight w:val="none"/>
        </w:rPr>
        <w:fldChar w:fldCharType="end"/>
      </w:r>
    </w:p>
    <w:p w14:paraId="59DE9A3B">
      <w:pPr>
        <w:pStyle w:val="9"/>
        <w:tabs>
          <w:tab w:val="right" w:leader="dot" w:pos="8306"/>
        </w:tabs>
        <w:rPr>
          <w:highlight w:val="none"/>
        </w:rPr>
      </w:pPr>
      <w:r>
        <w:rPr>
          <w:rFonts w:hint="eastAsia"/>
          <w:color w:val="auto"/>
          <w:highlight w:val="none"/>
          <w:lang w:val="en-US" w:eastAsia="zh-CN"/>
        </w:rPr>
        <w:t>9.13</w:t>
      </w:r>
      <w:r>
        <w:rPr>
          <w:color w:val="auto"/>
          <w:highlight w:val="none"/>
        </w:rPr>
        <w:fldChar w:fldCharType="begin"/>
      </w:r>
      <w:r>
        <w:rPr>
          <w:highlight w:val="none"/>
        </w:rPr>
        <w:instrText xml:space="preserve"> HYPERLINK \l _Toc5908 </w:instrText>
      </w:r>
      <w:r>
        <w:rPr>
          <w:highlight w:val="none"/>
        </w:rPr>
        <w:fldChar w:fldCharType="separate"/>
      </w:r>
      <w:r>
        <w:rPr>
          <w:rFonts w:hint="eastAsia" w:ascii="宋体" w:hAnsi="宋体" w:eastAsia="宋体" w:cs="宋体"/>
          <w:i w:val="0"/>
          <w:iCs w:val="0"/>
          <w:caps w:val="0"/>
          <w:spacing w:val="0"/>
          <w:szCs w:val="36"/>
          <w:highlight w:val="none"/>
          <w:shd w:val="clear" w:color="auto" w:fill="FFFFFF"/>
        </w:rPr>
        <w:t>教育部等五部门印发《关于进一步加强和规范教育收费管理的意见》的通知</w:t>
      </w:r>
      <w:r>
        <w:rPr>
          <w:highlight w:val="none"/>
        </w:rPr>
        <w:tab/>
      </w:r>
      <w:r>
        <w:rPr>
          <w:highlight w:val="none"/>
        </w:rPr>
        <w:fldChar w:fldCharType="begin"/>
      </w:r>
      <w:r>
        <w:rPr>
          <w:highlight w:val="none"/>
        </w:rPr>
        <w:instrText xml:space="preserve"> PAGEREF _Toc5908 \h </w:instrText>
      </w:r>
      <w:r>
        <w:rPr>
          <w:highlight w:val="none"/>
        </w:rPr>
        <w:fldChar w:fldCharType="separate"/>
      </w:r>
      <w:r>
        <w:rPr>
          <w:highlight w:val="none"/>
        </w:rPr>
        <w:t>63</w:t>
      </w:r>
      <w:r>
        <w:rPr>
          <w:highlight w:val="none"/>
        </w:rPr>
        <w:fldChar w:fldCharType="end"/>
      </w:r>
      <w:r>
        <w:rPr>
          <w:color w:val="auto"/>
          <w:highlight w:val="none"/>
        </w:rPr>
        <w:fldChar w:fldCharType="end"/>
      </w:r>
    </w:p>
    <w:p w14:paraId="4244838B">
      <w:pPr>
        <w:pStyle w:val="9"/>
        <w:tabs>
          <w:tab w:val="right" w:leader="dot" w:pos="8306"/>
        </w:tabs>
        <w:rPr>
          <w:highlight w:val="none"/>
        </w:rPr>
      </w:pPr>
      <w:r>
        <w:rPr>
          <w:rFonts w:hint="eastAsia"/>
          <w:color w:val="auto"/>
          <w:highlight w:val="none"/>
          <w:lang w:val="en-US" w:eastAsia="zh-CN"/>
        </w:rPr>
        <w:t>9.14</w:t>
      </w:r>
      <w:r>
        <w:rPr>
          <w:color w:val="auto"/>
          <w:highlight w:val="none"/>
        </w:rPr>
        <w:fldChar w:fldCharType="begin"/>
      </w:r>
      <w:r>
        <w:rPr>
          <w:highlight w:val="none"/>
        </w:rPr>
        <w:instrText xml:space="preserve"> HYPERLINK \l _Toc25634 </w:instrText>
      </w:r>
      <w:r>
        <w:rPr>
          <w:highlight w:val="none"/>
        </w:rPr>
        <w:fldChar w:fldCharType="separate"/>
      </w:r>
      <w:r>
        <w:rPr>
          <w:rFonts w:hint="eastAsia" w:ascii="宋体" w:hAnsi="宋体" w:eastAsia="宋体" w:cs="宋体"/>
          <w:i w:val="0"/>
          <w:iCs w:val="0"/>
          <w:caps w:val="0"/>
          <w:spacing w:val="0"/>
          <w:szCs w:val="36"/>
          <w:highlight w:val="none"/>
          <w:shd w:val="clear" w:color="auto" w:fill="FFFFFF"/>
        </w:rPr>
        <w:t>教育部办公厅印发《关于防范和惩治教育统计造假弄虚作假责任制规定（试行）》的通知</w:t>
      </w:r>
      <w:r>
        <w:rPr>
          <w:highlight w:val="none"/>
        </w:rPr>
        <w:tab/>
      </w:r>
      <w:r>
        <w:rPr>
          <w:highlight w:val="none"/>
        </w:rPr>
        <w:fldChar w:fldCharType="begin"/>
      </w:r>
      <w:r>
        <w:rPr>
          <w:highlight w:val="none"/>
        </w:rPr>
        <w:instrText xml:space="preserve"> PAGEREF _Toc25634 \h </w:instrText>
      </w:r>
      <w:r>
        <w:rPr>
          <w:highlight w:val="none"/>
        </w:rPr>
        <w:fldChar w:fldCharType="separate"/>
      </w:r>
      <w:r>
        <w:rPr>
          <w:highlight w:val="none"/>
        </w:rPr>
        <w:t>68</w:t>
      </w:r>
      <w:r>
        <w:rPr>
          <w:highlight w:val="none"/>
        </w:rPr>
        <w:fldChar w:fldCharType="end"/>
      </w:r>
      <w:r>
        <w:rPr>
          <w:color w:val="auto"/>
          <w:highlight w:val="none"/>
        </w:rPr>
        <w:fldChar w:fldCharType="end"/>
      </w:r>
    </w:p>
    <w:p w14:paraId="08799055">
      <w:pPr>
        <w:pStyle w:val="9"/>
        <w:tabs>
          <w:tab w:val="right" w:leader="dot" w:pos="8306"/>
        </w:tabs>
        <w:rPr>
          <w:highlight w:val="none"/>
        </w:rPr>
      </w:pPr>
      <w:r>
        <w:rPr>
          <w:rFonts w:hint="eastAsia"/>
          <w:color w:val="auto"/>
          <w:highlight w:val="none"/>
          <w:lang w:val="en-US" w:eastAsia="zh-CN"/>
        </w:rPr>
        <w:t>9.15</w:t>
      </w:r>
      <w:r>
        <w:rPr>
          <w:color w:val="auto"/>
          <w:highlight w:val="none"/>
        </w:rPr>
        <w:fldChar w:fldCharType="begin"/>
      </w:r>
      <w:r>
        <w:rPr>
          <w:highlight w:val="none"/>
        </w:rPr>
        <w:instrText xml:space="preserve"> HYPERLINK \l _Toc14179 </w:instrText>
      </w:r>
      <w:r>
        <w:rPr>
          <w:highlight w:val="none"/>
        </w:rPr>
        <w:fldChar w:fldCharType="separate"/>
      </w:r>
      <w:r>
        <w:rPr>
          <w:rFonts w:hint="eastAsia" w:ascii="宋体" w:hAnsi="宋体" w:eastAsia="宋体" w:cs="宋体"/>
          <w:i w:val="0"/>
          <w:iCs w:val="0"/>
          <w:caps w:val="0"/>
          <w:spacing w:val="0"/>
          <w:szCs w:val="36"/>
          <w:highlight w:val="none"/>
          <w:shd w:val="clear" w:color="auto" w:fill="FFFFFF"/>
        </w:rPr>
        <w:t>教育部办公厅关于转发《档案管理违法违纪行为处分规定》的通知</w:t>
      </w:r>
      <w:r>
        <w:rPr>
          <w:highlight w:val="none"/>
        </w:rPr>
        <w:tab/>
      </w:r>
      <w:r>
        <w:rPr>
          <w:highlight w:val="none"/>
        </w:rPr>
        <w:fldChar w:fldCharType="begin"/>
      </w:r>
      <w:r>
        <w:rPr>
          <w:highlight w:val="none"/>
        </w:rPr>
        <w:instrText xml:space="preserve"> PAGEREF _Toc14179 \h </w:instrText>
      </w:r>
      <w:r>
        <w:rPr>
          <w:highlight w:val="none"/>
        </w:rPr>
        <w:fldChar w:fldCharType="separate"/>
      </w:r>
      <w:r>
        <w:rPr>
          <w:highlight w:val="none"/>
        </w:rPr>
        <w:t>71</w:t>
      </w:r>
      <w:r>
        <w:rPr>
          <w:highlight w:val="none"/>
        </w:rPr>
        <w:fldChar w:fldCharType="end"/>
      </w:r>
      <w:r>
        <w:rPr>
          <w:color w:val="auto"/>
          <w:highlight w:val="none"/>
        </w:rPr>
        <w:fldChar w:fldCharType="end"/>
      </w:r>
    </w:p>
    <w:p w14:paraId="0634C6D6">
      <w:pPr>
        <w:pStyle w:val="9"/>
        <w:tabs>
          <w:tab w:val="right" w:leader="dot" w:pos="8306"/>
        </w:tabs>
        <w:rPr>
          <w:highlight w:val="none"/>
        </w:rPr>
      </w:pPr>
      <w:r>
        <w:rPr>
          <w:rFonts w:hint="eastAsia"/>
          <w:color w:val="auto"/>
          <w:highlight w:val="none"/>
          <w:lang w:val="en-US" w:eastAsia="zh-CN"/>
        </w:rPr>
        <w:t>9.16</w:t>
      </w:r>
      <w:r>
        <w:rPr>
          <w:color w:val="auto"/>
          <w:highlight w:val="none"/>
        </w:rPr>
        <w:fldChar w:fldCharType="begin"/>
      </w:r>
      <w:r>
        <w:rPr>
          <w:highlight w:val="none"/>
        </w:rPr>
        <w:instrText xml:space="preserve"> HYPERLINK \l _Toc29972 </w:instrText>
      </w:r>
      <w:r>
        <w:rPr>
          <w:highlight w:val="none"/>
        </w:rPr>
        <w:fldChar w:fldCharType="separate"/>
      </w:r>
      <w:r>
        <w:rPr>
          <w:rFonts w:hint="eastAsia" w:ascii="宋体" w:hAnsi="宋体" w:eastAsia="宋体" w:cs="宋体"/>
          <w:i w:val="0"/>
          <w:iCs w:val="0"/>
          <w:caps w:val="0"/>
          <w:spacing w:val="0"/>
          <w:szCs w:val="36"/>
          <w:highlight w:val="none"/>
          <w:shd w:val="clear" w:color="auto" w:fill="FFFFFF"/>
        </w:rPr>
        <w:t>教育统计管理规定</w:t>
      </w:r>
      <w:r>
        <w:rPr>
          <w:highlight w:val="none"/>
        </w:rPr>
        <w:tab/>
      </w:r>
      <w:r>
        <w:rPr>
          <w:highlight w:val="none"/>
        </w:rPr>
        <w:fldChar w:fldCharType="begin"/>
      </w:r>
      <w:r>
        <w:rPr>
          <w:highlight w:val="none"/>
        </w:rPr>
        <w:instrText xml:space="preserve"> PAGEREF _Toc29972 \h </w:instrText>
      </w:r>
      <w:r>
        <w:rPr>
          <w:highlight w:val="none"/>
        </w:rPr>
        <w:fldChar w:fldCharType="separate"/>
      </w:r>
      <w:r>
        <w:rPr>
          <w:highlight w:val="none"/>
        </w:rPr>
        <w:t>74</w:t>
      </w:r>
      <w:r>
        <w:rPr>
          <w:highlight w:val="none"/>
        </w:rPr>
        <w:fldChar w:fldCharType="end"/>
      </w:r>
      <w:r>
        <w:rPr>
          <w:color w:val="auto"/>
          <w:highlight w:val="none"/>
        </w:rPr>
        <w:fldChar w:fldCharType="end"/>
      </w:r>
    </w:p>
    <w:p w14:paraId="20B01917">
      <w:pPr>
        <w:pStyle w:val="9"/>
        <w:tabs>
          <w:tab w:val="right" w:leader="dot" w:pos="8306"/>
        </w:tabs>
        <w:rPr>
          <w:highlight w:val="none"/>
        </w:rPr>
      </w:pPr>
      <w:r>
        <w:rPr>
          <w:rFonts w:hint="eastAsia"/>
          <w:color w:val="auto"/>
          <w:highlight w:val="none"/>
          <w:lang w:val="en-US" w:eastAsia="zh-CN"/>
        </w:rPr>
        <w:t>9.17</w:t>
      </w:r>
      <w:r>
        <w:rPr>
          <w:color w:val="auto"/>
          <w:highlight w:val="none"/>
        </w:rPr>
        <w:fldChar w:fldCharType="begin"/>
      </w:r>
      <w:r>
        <w:rPr>
          <w:highlight w:val="none"/>
        </w:rPr>
        <w:instrText xml:space="preserve"> HYPERLINK \l _Toc8602 </w:instrText>
      </w:r>
      <w:r>
        <w:rPr>
          <w:highlight w:val="none"/>
        </w:rPr>
        <w:fldChar w:fldCharType="separate"/>
      </w:r>
      <w:r>
        <w:rPr>
          <w:i w:val="0"/>
          <w:iCs w:val="0"/>
          <w:caps w:val="0"/>
          <w:spacing w:val="0"/>
          <w:szCs w:val="36"/>
          <w:highlight w:val="none"/>
          <w:shd w:val="clear" w:color="auto" w:fill="FFFFFF"/>
        </w:rPr>
        <w:t>统计执法监督检查办法</w:t>
      </w:r>
      <w:r>
        <w:rPr>
          <w:highlight w:val="none"/>
        </w:rPr>
        <w:tab/>
      </w:r>
      <w:r>
        <w:rPr>
          <w:highlight w:val="none"/>
        </w:rPr>
        <w:fldChar w:fldCharType="begin"/>
      </w:r>
      <w:r>
        <w:rPr>
          <w:highlight w:val="none"/>
        </w:rPr>
        <w:instrText xml:space="preserve"> PAGEREF _Toc8602 \h </w:instrText>
      </w:r>
      <w:r>
        <w:rPr>
          <w:highlight w:val="none"/>
        </w:rPr>
        <w:fldChar w:fldCharType="separate"/>
      </w:r>
      <w:r>
        <w:rPr>
          <w:highlight w:val="none"/>
        </w:rPr>
        <w:t>79</w:t>
      </w:r>
      <w:r>
        <w:rPr>
          <w:highlight w:val="none"/>
        </w:rPr>
        <w:fldChar w:fldCharType="end"/>
      </w:r>
      <w:r>
        <w:rPr>
          <w:color w:val="auto"/>
          <w:highlight w:val="none"/>
        </w:rPr>
        <w:fldChar w:fldCharType="end"/>
      </w:r>
    </w:p>
    <w:p w14:paraId="20CE0487">
      <w:pPr>
        <w:pStyle w:val="9"/>
        <w:tabs>
          <w:tab w:val="right" w:leader="dot" w:pos="8306"/>
        </w:tabs>
        <w:rPr>
          <w:highlight w:val="none"/>
        </w:rPr>
      </w:pPr>
      <w:r>
        <w:rPr>
          <w:rFonts w:hint="eastAsia"/>
          <w:color w:val="auto"/>
          <w:highlight w:val="none"/>
          <w:lang w:val="en-US" w:eastAsia="zh-CN"/>
        </w:rPr>
        <w:t>9.18</w:t>
      </w:r>
      <w:r>
        <w:rPr>
          <w:color w:val="auto"/>
          <w:highlight w:val="none"/>
        </w:rPr>
        <w:fldChar w:fldCharType="begin"/>
      </w:r>
      <w:r>
        <w:rPr>
          <w:highlight w:val="none"/>
        </w:rPr>
        <w:instrText xml:space="preserve"> HYPERLINK \l _Toc1900 </w:instrText>
      </w:r>
      <w:r>
        <w:rPr>
          <w:highlight w:val="none"/>
        </w:rPr>
        <w:fldChar w:fldCharType="separate"/>
      </w:r>
      <w:r>
        <w:rPr>
          <w:i w:val="0"/>
          <w:iCs w:val="0"/>
          <w:caps w:val="0"/>
          <w:spacing w:val="0"/>
          <w:szCs w:val="36"/>
          <w:highlight w:val="none"/>
          <w:shd w:val="clear" w:color="auto" w:fill="FFFFFF"/>
        </w:rPr>
        <w:t>统计违法违纪行为处分规定</w:t>
      </w:r>
      <w:r>
        <w:rPr>
          <w:highlight w:val="none"/>
        </w:rPr>
        <w:tab/>
      </w:r>
      <w:r>
        <w:rPr>
          <w:highlight w:val="none"/>
        </w:rPr>
        <w:fldChar w:fldCharType="begin"/>
      </w:r>
      <w:r>
        <w:rPr>
          <w:highlight w:val="none"/>
        </w:rPr>
        <w:instrText xml:space="preserve"> PAGEREF _Toc1900 \h </w:instrText>
      </w:r>
      <w:r>
        <w:rPr>
          <w:highlight w:val="none"/>
        </w:rPr>
        <w:fldChar w:fldCharType="separate"/>
      </w:r>
      <w:r>
        <w:rPr>
          <w:highlight w:val="none"/>
        </w:rPr>
        <w:t>85</w:t>
      </w:r>
      <w:r>
        <w:rPr>
          <w:highlight w:val="none"/>
        </w:rPr>
        <w:fldChar w:fldCharType="end"/>
      </w:r>
      <w:r>
        <w:rPr>
          <w:color w:val="auto"/>
          <w:highlight w:val="none"/>
        </w:rPr>
        <w:fldChar w:fldCharType="end"/>
      </w:r>
    </w:p>
    <w:p w14:paraId="4BC44B65">
      <w:pPr>
        <w:pStyle w:val="9"/>
        <w:tabs>
          <w:tab w:val="right" w:leader="dot" w:pos="8306"/>
        </w:tabs>
        <w:rPr>
          <w:highlight w:val="none"/>
        </w:rPr>
      </w:pPr>
      <w:r>
        <w:rPr>
          <w:rFonts w:hint="eastAsia"/>
          <w:color w:val="auto"/>
          <w:highlight w:val="none"/>
          <w:lang w:val="en-US" w:eastAsia="zh-CN"/>
        </w:rPr>
        <w:t xml:space="preserve">9.19 </w:t>
      </w:r>
      <w:r>
        <w:rPr>
          <w:color w:val="auto"/>
          <w:highlight w:val="none"/>
        </w:rPr>
        <w:fldChar w:fldCharType="begin"/>
      </w:r>
      <w:r>
        <w:rPr>
          <w:highlight w:val="none"/>
        </w:rPr>
        <w:instrText xml:space="preserve"> HYPERLINK \l _Toc32569 </w:instrText>
      </w:r>
      <w:r>
        <w:rPr>
          <w:highlight w:val="none"/>
        </w:rPr>
        <w:fldChar w:fldCharType="separate"/>
      </w:r>
      <w:r>
        <w:rPr>
          <w:rFonts w:hint="eastAsia"/>
          <w:i w:val="0"/>
          <w:iCs w:val="0"/>
          <w:caps w:val="0"/>
          <w:spacing w:val="0"/>
          <w:szCs w:val="36"/>
          <w:highlight w:val="none"/>
          <w:shd w:val="clear" w:color="auto" w:fill="FFFFFF"/>
        </w:rPr>
        <w:t>2019年教育事业统计调查制度修订主要内容</w:t>
      </w:r>
      <w:r>
        <w:rPr>
          <w:highlight w:val="none"/>
        </w:rPr>
        <w:tab/>
      </w:r>
      <w:r>
        <w:rPr>
          <w:highlight w:val="none"/>
        </w:rPr>
        <w:fldChar w:fldCharType="begin"/>
      </w:r>
      <w:r>
        <w:rPr>
          <w:highlight w:val="none"/>
        </w:rPr>
        <w:instrText xml:space="preserve"> PAGEREF _Toc32569 \h </w:instrText>
      </w:r>
      <w:r>
        <w:rPr>
          <w:highlight w:val="none"/>
        </w:rPr>
        <w:fldChar w:fldCharType="separate"/>
      </w:r>
      <w:r>
        <w:rPr>
          <w:highlight w:val="none"/>
        </w:rPr>
        <w:t>87</w:t>
      </w:r>
      <w:r>
        <w:rPr>
          <w:highlight w:val="none"/>
        </w:rPr>
        <w:fldChar w:fldCharType="end"/>
      </w:r>
      <w:r>
        <w:rPr>
          <w:color w:val="auto"/>
          <w:highlight w:val="none"/>
        </w:rPr>
        <w:fldChar w:fldCharType="end"/>
      </w:r>
    </w:p>
    <w:p w14:paraId="207B2907">
      <w:pPr>
        <w:pStyle w:val="9"/>
        <w:tabs>
          <w:tab w:val="right" w:leader="dot" w:pos="8306"/>
        </w:tabs>
      </w:pPr>
    </w:p>
    <w:p w14:paraId="177E2396">
      <w:pPr>
        <w:rPr>
          <w:color w:val="auto"/>
        </w:rPr>
      </w:pPr>
      <w:r>
        <w:rPr>
          <w:color w:val="auto"/>
        </w:rPr>
        <w:fldChar w:fldCharType="end"/>
      </w:r>
    </w:p>
    <w:p w14:paraId="33F5DF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outlineLvl w:val="0"/>
        <w:rPr>
          <w:rFonts w:hint="eastAsia" w:ascii="黑体" w:hAnsi="黑体" w:eastAsia="黑体" w:cs="黑体"/>
          <w:b/>
          <w:bCs/>
          <w:i w:val="0"/>
          <w:iCs w:val="0"/>
          <w:caps w:val="0"/>
          <w:color w:val="auto"/>
          <w:spacing w:val="0"/>
          <w:sz w:val="36"/>
          <w:szCs w:val="36"/>
          <w:shd w:val="clear" w:color="auto" w:fill="FFFFFF"/>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428C1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outlineLvl w:val="0"/>
        <w:rPr>
          <w:rFonts w:hint="eastAsia" w:ascii="黑体" w:hAnsi="黑体" w:eastAsia="黑体" w:cs="黑体"/>
          <w:b/>
          <w:bCs/>
          <w:i w:val="0"/>
          <w:iCs w:val="0"/>
          <w:caps w:val="0"/>
          <w:color w:val="auto"/>
          <w:spacing w:val="0"/>
          <w:sz w:val="36"/>
          <w:szCs w:val="36"/>
          <w:shd w:val="clear" w:color="auto" w:fill="FFFFFF"/>
          <w:lang w:val="en-US" w:eastAsia="zh-CN"/>
        </w:rPr>
      </w:pPr>
      <w:r>
        <w:rPr>
          <w:rFonts w:hint="eastAsia" w:ascii="黑体" w:hAnsi="黑体" w:eastAsia="黑体" w:cs="黑体"/>
          <w:b/>
          <w:bCs/>
          <w:i w:val="0"/>
          <w:iCs w:val="0"/>
          <w:caps w:val="0"/>
          <w:color w:val="auto"/>
          <w:spacing w:val="0"/>
          <w:sz w:val="36"/>
          <w:szCs w:val="36"/>
          <w:shd w:val="clear" w:color="auto" w:fill="FFFFFF"/>
          <w:lang w:val="en-US" w:eastAsia="zh-CN"/>
        </w:rPr>
        <w:t>第九编 教育监督管理</w:t>
      </w:r>
      <w:bookmarkEnd w:id="0"/>
      <w:bookmarkEnd w:id="1"/>
    </w:p>
    <w:p w14:paraId="6C0B45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bookmarkStart w:id="2" w:name="_Toc26803"/>
      <w:bookmarkStart w:id="3" w:name="_Toc13193"/>
      <w:r>
        <w:rPr>
          <w:rFonts w:hint="eastAsia" w:ascii="宋体" w:hAnsi="宋体" w:eastAsia="宋体" w:cs="宋体"/>
          <w:b/>
          <w:bCs/>
          <w:i w:val="0"/>
          <w:iCs w:val="0"/>
          <w:caps w:val="0"/>
          <w:color w:val="auto"/>
          <w:spacing w:val="0"/>
          <w:sz w:val="36"/>
          <w:szCs w:val="36"/>
          <w:shd w:val="clear" w:color="auto" w:fill="FFFFFF"/>
        </w:rPr>
        <w:t>普通高等学校教育评估暂行规定</w:t>
      </w:r>
      <w:bookmarkEnd w:id="2"/>
      <w:bookmarkEnd w:id="3"/>
    </w:p>
    <w:p w14:paraId="11775C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第一章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总则</w:t>
      </w:r>
    </w:p>
    <w:p w14:paraId="47A4E9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为了建设有中国特色的社会主义高等学校，加强国家对普通高等教育的宏观管理，指导普通高等学校的教育评估工作，特制定本规定。</w:t>
      </w:r>
    </w:p>
    <w:p w14:paraId="5C6BE3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普通高等学校教育评估的主要目的，是增强高等学校主动适应社会需要的能力，发挥社会对学校教育的监督作用，自觉坚持高等教育的社会主义方向，不断提高办学水平和教育质量，更好地为社会主义建设服务。</w:t>
      </w:r>
    </w:p>
    <w:p w14:paraId="4DDAA6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普通高等学校教育评估的基本任务，是根据一定的教育目标和标准，通过系统地搜集学校教育的主要信息，准确地了解实际情况，进行科学分析，对学校办学水平和教育质量作出评价，为学校改进工作、开展教育改革和教育管理部门改善宏观管理提供依据。</w:t>
      </w:r>
    </w:p>
    <w:p w14:paraId="26658C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普通高等学校教育评估坚持社会主义办学方向，认真贯彻教育为社会主义建设服务、与生产劳动相结合、德智体全面发展的方针，始终把坚定正确的政治方向放在首位，以能否培养适应社会主义建设实际需要的社会主义建设者和接班人作为评价学校办学水平和教育质量的基本标准。</w:t>
      </w:r>
    </w:p>
    <w:p w14:paraId="66DE9C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普通高等学校教育评估主要有合格评估（鉴定）、办学水平评估和选优评估三种基本形式。各种评估形式应制定相应的评估方案（含评估标准、评估指标体系和评估方法），评估方案要力求科学、简易、可行、注重实效，有利于调动各类学校的积极性，在保证基本教育质量的基础上办出各自的特色。</w:t>
      </w:r>
    </w:p>
    <w:p w14:paraId="375B93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普通高等学校教育评估是国家对高等学校实行监督的重要形式，由各级人民政府及其教育行政部门组织实施。</w:t>
      </w:r>
    </w:p>
    <w:p w14:paraId="5631A3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在学校自我评估的基础上，以组织党政有关部门和教育界、知识界以及用人部门进行的社会评估为重点，在政策上体现区别对待、奖优罚劣的原则，鼓励学术机构、社会团体参加教育评估。</w:t>
      </w:r>
    </w:p>
    <w:p w14:paraId="6C070C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第二章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合格评估（鉴定）</w:t>
      </w:r>
    </w:p>
    <w:p w14:paraId="3724DE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合格评估（鉴定）是国家对新建普通高等学校的基本办学条件和基本教育质量的一种认可制度，由国家教育委员会组织实施，在新建普通高等学校被批准建立之后有第一届毕业生时进行。</w:t>
      </w:r>
    </w:p>
    <w:p w14:paraId="1100EA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办学条件鉴定的合格标准以《普通高等学校设置暂行条例》为依据，教育质量鉴定的合格标准以《中华人民共和国学位条例》中关于学位授权标准的规定和国家制订的有关不同层次教育的培养目标和专业（学科）的基本培养规格为依据。</w:t>
      </w:r>
    </w:p>
    <w:p w14:paraId="255EA9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鉴定合格分合格、暂缓通过和不合格三种。鉴定合格的学校，由国家教育委员会公布名单并发给鉴定合格证书。鉴定暂缓通过的学校需在规定期限内采取措施，改善办学条件，提高教育质量，并需重新接受鉴定。经鉴定不合格的学校，由国家教育委员会区别情况，责令其限期整顿、停止招生或停办。</w:t>
      </w:r>
    </w:p>
    <w:p w14:paraId="247D14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第三章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办学水平评估</w:t>
      </w:r>
    </w:p>
    <w:p w14:paraId="1A09A1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办学水平评估，是对已经鉴定合格的学校进行的经常性评估，它分为整个学校办学水平的综合评估和学校中思想政治教育、专业（学科）、课程及其他教育工作的单项评估。</w:t>
      </w:r>
    </w:p>
    <w:p w14:paraId="354E73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办学水平的综合评估，根据国家对不同类别学校所规定的任务与目标，由上级政府和有关学校主管部门组织实施，目的是全面考察学校的办学指导思想，贯彻执行党和国家的路线、方针、政策的情况，学校建设状况以及思想政治工作、人才培养、科学研究、为社会服务等方面的水平和质量。其中重点是学校领导班子等的组织建设、马列主义教育、学生思想政治教育的状况。这是各级人民政府和学校主管部门对学校实行监督和考核的重要形式。</w:t>
      </w:r>
    </w:p>
    <w:p w14:paraId="45074C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办学水平的综合评估一般每四至五年进行一次（和学校领导班子任期相一致），综合评估结束后应作出结论，肯定成绩，指出不足，提出改进意见，必要时由上级人民政府或学校主管部门责令其限期整顿。学校应在综合评估结束后的三个月内向上级人民政府和学校主管部门写出改进报告，上级人民政府和学校主管部门应组织复查。</w:t>
      </w:r>
    </w:p>
    <w:p w14:paraId="1064E2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思想政治教育、专业（学科）、课程或其他教育工作的单项评估，主要由国务院有关部门和省（自治区、直辖市）教育行政部门组织实施。目的是通过校际间思想政治教育、专业（学科）、课程或其他单项教育工作的比较评估，诊断教育工作状况，交流教育工作经验，促进相互学习，共同提高。评估结束后应对每个被评单位分别提出评估报告并作出评估结论，结论分为优秀、良好、合格、不合格四种，不排名次。对结论定为不合格的由组织实施教育评估的国务院有关部门或省（自治区、直辖市）教育行政部门责令其限期整顿，并再次进行评估。</w:t>
      </w:r>
    </w:p>
    <w:p w14:paraId="56D57A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第四章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选优评估</w:t>
      </w:r>
    </w:p>
    <w:p w14:paraId="4E46D6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选优评估是在普通高等学校进行的评比选拔活动，其目的是在办学水平评估的基础上，遴选优秀，择优支持，促进竞争，提高水平。</w:t>
      </w:r>
    </w:p>
    <w:p w14:paraId="488411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选优评估分省（部门）、国家两级。根据选优评估结果排出名次或确定优选对象名单，予以公布，对成绩卓著的给予表彰、奖励。</w:t>
      </w:r>
    </w:p>
    <w:p w14:paraId="1C28E7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第五章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学校内部评估</w:t>
      </w:r>
    </w:p>
    <w:p w14:paraId="2D064D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内部评估，即学校内部自行组织实施的自我评估，是加强学校管理的重要手段，也是各级人民政府及其教育行政部门组织的普通高等学校教育评估工作的基础，其目的是通过自我评估，不断提高办学水平和教育质量，主动适应社会主义建设需要。学校主管部门应给予鼓励、支持和指导。</w:t>
      </w:r>
    </w:p>
    <w:p w14:paraId="134C56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内部评估的重点是思想政治教育、专业（学科）、课程或其他教育工作的单项评估，基础是经常性的教学评估活动。评估计划、评估对象、评估方案、评估结论表达方式以及有关政策措施，由学校根据实际情况和本规定的要求自行确定。</w:t>
      </w:r>
    </w:p>
    <w:p w14:paraId="0BA918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学校应建设利毕业生跟踪调查和与社会用人部门经常联系的制度，了解社会需要，收集社会反馈信息，作为开展学校内部评估的重要依据。</w:t>
      </w:r>
    </w:p>
    <w:p w14:paraId="7E7102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第六章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评估机构</w:t>
      </w:r>
    </w:p>
    <w:p w14:paraId="2F25A6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在国务院和省（自治区、直辖市）人民政府领导下，国家教育委员会、国务院有关部门教育行政部门和省（自治区、直辖市）高校工委、教育行政部门建立普通高等学校教育评估领导小组，并确定有关具体机构负责教育评估的日常工作。</w:t>
      </w:r>
    </w:p>
    <w:p w14:paraId="120880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国家普通高等学校教育评估领导小组，在国家教育委员会的领导下，负责全国普通高等学校教育评估工作。其具体职责是：</w:t>
      </w:r>
    </w:p>
    <w:p w14:paraId="6D4A4F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（一）制订普通高等学校教育评估的基本准则和实施细则；</w:t>
      </w:r>
    </w:p>
    <w:p w14:paraId="319586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（二）指导、协调、检查各部门、各地区的普通高等学校教育评估工作，根据需要组织各种评估工作或试点；</w:t>
      </w:r>
    </w:p>
    <w:p w14:paraId="7FAFDA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（三）审核、提出鉴定合格学校名单报国家教育委员会批准公布，接受并处理学校对教育评估工作及评估结论的额申诉；</w:t>
      </w:r>
    </w:p>
    <w:p w14:paraId="5CAC8F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（四）收集、整理和分析全国教育评估信息，负责向教育管理决策部门提供；</w:t>
      </w:r>
    </w:p>
    <w:p w14:paraId="22BBC1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（五）推动全国教育评估理论和方法的研究，促进教育评估学术交流，组织教育评估骨干培训。</w:t>
      </w:r>
    </w:p>
    <w:p w14:paraId="0F7F3D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省（自治区、直辖市）普通高等学校教育评估领导小组在省（自治区、直辖市）的高校工委、教育行政部门和国家普通高等学校教育评估领导小组指导下，负责全省（自治区、直辖市）普通高等学校教育评估工作。其具体职责是：</w:t>
      </w:r>
      <w:r>
        <w:rPr>
          <w:rFonts w:hint="eastAsia" w:ascii="仿宋" w:hAnsi="仿宋" w:eastAsia="仿宋" w:cs="仿宋"/>
          <w:i w:val="0"/>
          <w:iCs w:val="0"/>
          <w:caps w:val="0"/>
          <w:color w:val="auto"/>
          <w:spacing w:val="0"/>
          <w:sz w:val="24"/>
          <w:szCs w:val="24"/>
          <w:shd w:val="clear" w:color="auto" w:fill="FFFFFF"/>
          <w:lang w:val="en-US" w:eastAsia="zh-CN"/>
        </w:rPr>
        <w:t xml:space="preserve">  </w:t>
      </w:r>
    </w:p>
    <w:p w14:paraId="0E97E6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 依据本规定和国家教育委员会有关文件，制订本地区的评估方案和实施细则；</w:t>
      </w:r>
    </w:p>
    <w:p w14:paraId="310E1F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（二）指导、组织本地区所有普通高等学校的教育评估工作，接受国家教育委员会委托进行教育评估试点。</w:t>
      </w:r>
    </w:p>
    <w:p w14:paraId="0A2895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（三）审核、批准本地区有关高等学校思想政治教育、专业（学科）、课程及其他单项教育工作评估的结论；</w:t>
      </w:r>
    </w:p>
    <w:p w14:paraId="66EDB0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（四）收集、整理和分析本地区教育评估信息，负责向有关教育关利决策部门提供；</w:t>
      </w:r>
    </w:p>
    <w:p w14:paraId="1D32A9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（五）推动本地区教育评估理论和方法的研究，促进教育评估学术交流，组织教育评估骨干培训。</w:t>
      </w:r>
    </w:p>
    <w:p w14:paraId="46DB4C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有关部门普通高等学校教育评估领导小组，在国务院有关部门教育行政部门和国家普通高等学校教育评估领导小组领导下，负责直属普通高等学校和国家教育委员会委托的对口专业（学科）的教育评估工作。其具体职责是：</w:t>
      </w:r>
    </w:p>
    <w:p w14:paraId="24AD18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（一）依据本规定和国家教育委员会有关文件，制订本部门所属普通高等学校和国家教育委员会委托的对口专业（学科）的教育评估方案和实施细则；</w:t>
      </w:r>
    </w:p>
    <w:p w14:paraId="7E2E87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（二）领导和组织本部门直属普通高等学校的教育评估工作，审核、批准本部门直属普通高等学校教育评估的结论；</w:t>
      </w:r>
    </w:p>
    <w:p w14:paraId="24C96B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（三）领导和组织国家教育委员会委托的对口专业（学科）教育评估，审核、提出对口专业（学科）教育评估结论，报国务院有关部门教育行政部门批准公布；</w:t>
      </w:r>
    </w:p>
    <w:p w14:paraId="34BE1C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（四）收集、整理、分析本部门和对口专业（学科）教育评估信息，负责向有关教育决策部门提供；</w:t>
      </w:r>
    </w:p>
    <w:p w14:paraId="308B22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（五）推动本部门和对口专业（学科）教育评估理论、方法的研究，促进教育评估学术交流，组织教育评估骨干培训。</w:t>
      </w:r>
    </w:p>
    <w:p w14:paraId="42D7AA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根据需要，在各级普通高等学校教育评估领导小组领导下，可设立新建普通高等学校鉴定委员会、普通高等学校专业（学科）教育评估委员会、普通高等学校课程教育评估委员会等专家组织，指导、组织新建普通高等学校的合格评估（鉴定）和专业（学科）、课程的办学水平评估工作。</w:t>
      </w:r>
    </w:p>
    <w:p w14:paraId="2D26E7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第七章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评估程序</w:t>
      </w:r>
    </w:p>
    <w:p w14:paraId="3177F2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教育评估的一般程序是：学校提出申请；评估（鉴定）委员会审核申请；学校自评，写出自评报告；评估（鉴定）委员会派出视察小组到现场视察，写出视察报告，提出评估结论建议；评估（鉴定）委员会复核视察报告，提出正式评估结论；必要时报请有关教育行政部门和各级政府批准、公布评估结论。</w:t>
      </w:r>
    </w:p>
    <w:p w14:paraId="2A76CC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申请学校如对评估结论有不同意见，可在一个月内向上一级普通高等学校教育评估领导小组提出申诉，上一级教育评估领导小组应认真对待，进行仲裁，妥善处理。</w:t>
      </w:r>
    </w:p>
    <w:p w14:paraId="3B5EFE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第八章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附则</w:t>
      </w:r>
    </w:p>
    <w:p w14:paraId="5854A0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学校教育评估经费列入有关教育行政部门的年度预算，并鼓励社会资助；申请教育评估的学校也要承担一定的费用。</w:t>
      </w:r>
    </w:p>
    <w:p w14:paraId="6D95EE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本规定适用于普通高等学校。其他高等学校教育评估可参照实施。</w:t>
      </w:r>
    </w:p>
    <w:p w14:paraId="5CE33E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本规定由国家教育委员会负责解释。</w:t>
      </w:r>
    </w:p>
    <w:p w14:paraId="11D10E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本规定自发布之日起施行。原发布的有关文件即行废止。</w:t>
      </w:r>
    </w:p>
    <w:p w14:paraId="43581266">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45D5CD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val="0"/>
          <w:i w:val="0"/>
          <w:iCs w:val="0"/>
          <w:caps w:val="0"/>
          <w:color w:val="auto"/>
          <w:spacing w:val="0"/>
          <w:sz w:val="36"/>
          <w:szCs w:val="36"/>
        </w:rPr>
      </w:pPr>
      <w:r>
        <w:rPr>
          <w:rStyle w:val="14"/>
          <w:rFonts w:hint="eastAsia" w:ascii="宋体" w:hAnsi="宋体" w:eastAsia="宋体" w:cs="宋体"/>
          <w:b/>
          <w:bCs w:val="0"/>
          <w:i w:val="0"/>
          <w:iCs w:val="0"/>
          <w:caps w:val="0"/>
          <w:color w:val="auto"/>
          <w:spacing w:val="0"/>
          <w:sz w:val="36"/>
          <w:szCs w:val="36"/>
          <w:shd w:val="clear" w:color="auto" w:fill="FFFFFF"/>
        </w:rPr>
        <w:br w:type="page"/>
      </w:r>
      <w:bookmarkStart w:id="4" w:name="_Toc18647"/>
      <w:bookmarkStart w:id="5" w:name="_Toc8456"/>
      <w:r>
        <w:rPr>
          <w:rStyle w:val="14"/>
          <w:rFonts w:hint="eastAsia" w:ascii="宋体" w:hAnsi="宋体" w:eastAsia="宋体" w:cs="宋体"/>
          <w:b/>
          <w:bCs w:val="0"/>
          <w:i w:val="0"/>
          <w:iCs w:val="0"/>
          <w:caps w:val="0"/>
          <w:color w:val="auto"/>
          <w:spacing w:val="0"/>
          <w:sz w:val="36"/>
          <w:szCs w:val="36"/>
          <w:shd w:val="clear" w:color="auto" w:fill="FFFFFF"/>
        </w:rPr>
        <w:t>学位论文作假行为处理办法</w:t>
      </w:r>
      <w:bookmarkEnd w:id="4"/>
      <w:bookmarkEnd w:id="5"/>
    </w:p>
    <w:p w14:paraId="229948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为规范学位论文管理，推进建立良好学风，提高人才培养质量，严肃处理学位论文作假行为，根据《中华人民共和国学位条例</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中华人民共和国高等教育法》，制定本办法。</w:t>
      </w:r>
    </w:p>
    <w:p w14:paraId="02D880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向学位授予单位申请博士、硕士、学士学位所提交的博士学位论文、硕士学位论文和本科学生毕业论文（毕业设计或其他毕业实践环节）（统称为学位论文），出现本办法所列作假情形的，依照本办法的规定处理。</w:t>
      </w:r>
    </w:p>
    <w:p w14:paraId="1A4219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本办法所称学位论文作假行为包括下列情形：</w:t>
      </w:r>
    </w:p>
    <w:p w14:paraId="4BB2B2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（一）购买、出售学位论文或者组织学位论文买卖的；</w:t>
      </w:r>
    </w:p>
    <w:p w14:paraId="04EEC9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（二）由他人代写、为他人代写学位论文或者组织学位论文代写的；</w:t>
      </w:r>
    </w:p>
    <w:p w14:paraId="7AF66D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（三）剽窃他人作品和学术成果的；</w:t>
      </w:r>
    </w:p>
    <w:p w14:paraId="008708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（四）伪造数据的；</w:t>
      </w:r>
    </w:p>
    <w:p w14:paraId="1B2C2A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（五）有其他严重学位论文作假行为的。</w:t>
      </w:r>
    </w:p>
    <w:p w14:paraId="0C4CBA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学位申请人员应当恪守学术道德和学术规范，在指导教师指导下独立完成学位论文。</w:t>
      </w:r>
    </w:p>
    <w:p w14:paraId="43CA99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指导教师应当对学位申请人员进行学术道德、学术规范教育，对其学位论文研究和撰写过程予以指导，对学位论文是否由其独立完成进行审查。</w:t>
      </w:r>
    </w:p>
    <w:p w14:paraId="51DE00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学位授予单位应当加强学术诚信建设，健全学位论文审查制度，明确责任、规范程序，审核学位论文的真实性、原创性。</w:t>
      </w:r>
    </w:p>
    <w:p w14:paraId="3C5CE5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位申请人员的学位论文出现购买、由他人代写、剽窃或者伪造数据等作假情形的，学位授予单位可以取消其学位申请资格；已经获得学位的，学位授予单位可以依法撤销其学位，并注销学位证书。取消学位申请资格或者撤销学位的处理决定应当向社会公布。从做出处理决定之日起至少3年内，各学位授予单位不得再接受其学位申请。</w:t>
      </w:r>
    </w:p>
    <w:p w14:paraId="2C7D66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前款规定的学位申请人员为在读学生的，其所在学校或者学位授予单位可以给予开除学籍处分；为在职人员的，学位授予单位除给予纪律处分外，还应当通报其所在单位。</w:t>
      </w:r>
    </w:p>
    <w:p w14:paraId="3B330D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他人代写学位论文、出售学位论文或者组织学位论文买卖、代写的人员，属于在读学生的，其所在学校或者学位授予单位可以给予开除学籍处分；属于学校或者学位授予单位的教师和其他工作人员的，其所在学校或者学位授予单位可以给予开除处分或者解除聘任合同。</w:t>
      </w:r>
    </w:p>
    <w:p w14:paraId="693649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指导教师未履行学术道德和学术规范教育、论文指导和审查把关等职责，其指导的学位论文存在作假情形的，学位授予单位可以给予警告、记过处分；情节严重的，可以降低岗位等级直至给予开除处分或者解除聘任合同。</w:t>
      </w:r>
    </w:p>
    <w:p w14:paraId="7F6A9F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位授予单位应当将学位论文审查情况纳入对学院（系）等学生培养部门的年度考核内容。多次出现学位论文作假或者学位论文作假行为影响恶劣的，学位授予单位应当对该学院（系）等学生培养部门予以通报批评，并可以给予该学院（系）负责人相应的处分。</w:t>
      </w:r>
    </w:p>
    <w:p w14:paraId="2858C6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位授予单位制度不健全、管理混乱，多次出现学位论文作假或者学位论文作假行为影响恶劣的，国务院学位委员会或者省、自治区、直辖市人民政府学位委员会可以暂停或者撤销其相应学科、专业授予学位的资格；国务院教育行政部门或者省、自治区、直辖市人民政府教育行政部门可以核减其招生计划；并由有关主管部门按照国家有关规定对负有直接管理责任的学位授予单位负责人进行问责。</w:t>
      </w:r>
    </w:p>
    <w:p w14:paraId="00813C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发现学位论文有作假嫌疑的，学位授予单位应当确定学术委员会或者其他负有相应职责的机构，必要时可以委托专家组成的专门机构，对其进行调查认定。</w:t>
      </w:r>
    </w:p>
    <w:p w14:paraId="081BDD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对学位申请人员、指导教师及其他有关人员做出处理决定前，应当告知并听取当事人的陈述和申辩。</w:t>
      </w:r>
    </w:p>
    <w:p w14:paraId="6297D3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当事人对处理决定不服的，可以依法提出申诉、申请行政复议或者提起行政诉讼。</w:t>
      </w:r>
    </w:p>
    <w:p w14:paraId="60B9EB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社会中介组织、互联网站和个人，组织或者参与学位论文买卖、代写的，由有关主管机关依法查处。</w:t>
      </w:r>
    </w:p>
    <w:p w14:paraId="3632FB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学位论文作假行为违反有关法律法规规定的，依照有关法律法规的规定追究法律责任。</w:t>
      </w:r>
    </w:p>
    <w:p w14:paraId="19831A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学位授予单位应当依据本办法，制定、完善本单位的相关管理规定。</w:t>
      </w:r>
    </w:p>
    <w:p w14:paraId="2CACCC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color w:val="auto"/>
          <w:sz w:val="18"/>
          <w:szCs w:val="21"/>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本办法自2013年1月1日起施行。</w:t>
      </w:r>
    </w:p>
    <w:p w14:paraId="670507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r>
        <w:rPr>
          <w:rStyle w:val="14"/>
          <w:rFonts w:hint="eastAsia" w:ascii="宋体" w:hAnsi="宋体" w:eastAsia="宋体" w:cs="宋体"/>
          <w:i w:val="0"/>
          <w:iCs w:val="0"/>
          <w:caps w:val="0"/>
          <w:color w:val="auto"/>
          <w:spacing w:val="0"/>
          <w:sz w:val="36"/>
          <w:szCs w:val="36"/>
          <w:shd w:val="clear" w:color="auto" w:fill="FFFFFF"/>
        </w:rPr>
        <w:br w:type="page"/>
      </w:r>
      <w:bookmarkStart w:id="6" w:name="_Toc20377"/>
      <w:bookmarkStart w:id="7" w:name="_Toc13484"/>
      <w:r>
        <w:rPr>
          <w:rStyle w:val="14"/>
          <w:rFonts w:hint="eastAsia" w:ascii="宋体" w:hAnsi="宋体" w:eastAsia="宋体" w:cs="宋体"/>
          <w:i w:val="0"/>
          <w:iCs w:val="0"/>
          <w:caps w:val="0"/>
          <w:color w:val="auto"/>
          <w:spacing w:val="0"/>
          <w:sz w:val="36"/>
          <w:szCs w:val="36"/>
          <w:shd w:val="clear" w:color="auto" w:fill="FFFFFF"/>
        </w:rPr>
        <w:t>普通高等学校招生违规行为处理暂行办法</w:t>
      </w:r>
      <w:bookmarkEnd w:id="6"/>
      <w:bookmarkEnd w:id="7"/>
    </w:p>
    <w:p w14:paraId="2BD344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第一章 总则</w:t>
      </w:r>
    </w:p>
    <w:p w14:paraId="2B1726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为规范对普通高等学校招生违规行为的处理，保证招生公开、公平、公正，根据《中华人民共和国教育法》《中华人民共和国高等教育法》等法律法规，制定本办法。</w:t>
      </w:r>
    </w:p>
    <w:p w14:paraId="311ECE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本办法所称普通高等学校（以下简称高校）招生，是指高校通过国家教育考试或者国家认可的入学方式选拔录取本科、专科学生的活动。</w:t>
      </w:r>
    </w:p>
    <w:p w14:paraId="72C41D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校、高级中等学校（含中等职业学校，以下简称高中）、招生考试机构、主管教育行政部门及其招生工作人员、考生等，在高校招生工作过程中，违反国家有关教育法律法规和国家高等教育招生管理规定的行为认定及处理，适用本办法。</w:t>
      </w:r>
    </w:p>
    <w:p w14:paraId="357291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国务院教育行政部门主管全国高校招生工作。</w:t>
      </w:r>
    </w:p>
    <w:p w14:paraId="6B4697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县级以上各级人民政府教育行政部门按照职责分工，依法处理各类违反国家高等教育招生管理制度的行为。</w:t>
      </w:r>
    </w:p>
    <w:p w14:paraId="4EEC16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国务院有关主管部门在职责范围内加强对所属高校招生的监督管理。</w:t>
      </w:r>
    </w:p>
    <w:p w14:paraId="1533A9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高校招生应当遵循公开、公平、公正原则，接受考生、社会的监督。</w:t>
      </w:r>
    </w:p>
    <w:p w14:paraId="1EFC9B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高校招生接受监察部门的监督。</w:t>
      </w:r>
    </w:p>
    <w:p w14:paraId="35C807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对高校招生违规行为的处理，应当事实清楚、证据确凿、依据明确、程序合法、处理适当。</w:t>
      </w:r>
    </w:p>
    <w:p w14:paraId="5FC27C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第二章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违规行为认定及处理</w:t>
      </w:r>
    </w:p>
    <w:p w14:paraId="647022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违反国家招生管理规定，有下列情形之一的，由主管教育行政部门责令限期改正，给予警告或者通报批评；情节严重的，给予减少招生计划、暂停特殊类型招生试点项目或者依法给予停止招生的处理。对直接负责的主管人员和其他直接责任人员，视情节轻重依法给予相应处分；涉嫌犯罪的，依法移送司法机关处理。</w:t>
      </w:r>
    </w:p>
    <w:p w14:paraId="797F5C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（一）发布违反国家规定的招生简章，或者进行虚假宣传、骗取钱财的；</w:t>
      </w:r>
    </w:p>
    <w:p w14:paraId="199D9C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（二）未按照信息公开的规定公开招生信息的；</w:t>
      </w:r>
    </w:p>
    <w:p w14:paraId="09320E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（三）超出核定办学规模招生或者擅自调整招生计划的；</w:t>
      </w:r>
    </w:p>
    <w:p w14:paraId="2E0176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（四）违反规定降低标准录取考生或者拒绝录取符合条件的考生的；</w:t>
      </w:r>
    </w:p>
    <w:p w14:paraId="7CD46A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（五）在特殊类型招生中出台违反国家规定的报考条件，或者弄虚作假、徇私舞弊，录取不符合条件的考生的；</w:t>
      </w:r>
    </w:p>
    <w:p w14:paraId="2B95C2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（六）违规委托中介机构进行招生录取，或者以承诺录取为名向考生收取费用的；</w:t>
      </w:r>
    </w:p>
    <w:p w14:paraId="15FA04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（七）其他违反国家招生管理规定的行为。</w:t>
      </w:r>
    </w:p>
    <w:p w14:paraId="41C6F5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高中有下列情形之一的，由主管教育行政部门责令限期改正，给予警告或者通报批评。对直接负责的主管人员和其他直接责任人员，视情节轻重依法给予相应处分；涉嫌犯罪的，依法移送司法机关处理。</w:t>
      </w:r>
    </w:p>
    <w:p w14:paraId="42C328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（一）未按照规定的标准和程序，以照顾特定考生为目的，滥用推荐评价权力的；</w:t>
      </w:r>
    </w:p>
    <w:p w14:paraId="63DEAB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（二）未按规定公示享受优惠政策的考生名单、各类推荐考生的名额、名单及相关证明材料的；</w:t>
      </w:r>
    </w:p>
    <w:p w14:paraId="341486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（三）在考生报名、推荐等工作过程中出具与事实不符的成绩单、推荐材料、证明材料等虚假材料，在学生综合素质档案中虚构事实或者故意隐瞒事实的；</w:t>
      </w:r>
    </w:p>
    <w:p w14:paraId="38A251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（四）违规办理学籍档案、违背考生意愿为考生填报志愿或者有偿推荐、组织生源的；</w:t>
      </w:r>
    </w:p>
    <w:p w14:paraId="64BE89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（五）其他违反国家招生管理规定的行为。</w:t>
      </w:r>
    </w:p>
    <w:p w14:paraId="324F0D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招生考试机构违反国家招生管理规定，有下列情形之一的，由主管教育行政部门责令限期改正，给予警告或者通报批评。对直接负责的主管人员和其他直接责任人员，视情节轻重依法给予相应处分；涉嫌犯罪的，依法移送司法机关处理。</w:t>
      </w:r>
    </w:p>
    <w:p w14:paraId="54E1D7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（一）为高校擅自超计划招生办理录取手续的；</w:t>
      </w:r>
    </w:p>
    <w:p w14:paraId="640C9B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（二）对降低标准违规录取考生进行投档的；</w:t>
      </w:r>
    </w:p>
    <w:p w14:paraId="221C4A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（三）违反录取程序投档操作的；</w:t>
      </w:r>
    </w:p>
    <w:p w14:paraId="4AAF7B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（四）在招生结束后违规补录的；</w:t>
      </w:r>
    </w:p>
    <w:p w14:paraId="70AF20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（五）未按照信息公开的规定公开招生工作信息的；</w:t>
      </w:r>
    </w:p>
    <w:p w14:paraId="535DE6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（六）对高校录取工作监督不力、造成严重不良后果的；</w:t>
      </w:r>
    </w:p>
    <w:p w14:paraId="15BA2D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（七）其他违反国家招生管理规定的行为。</w:t>
      </w:r>
    </w:p>
    <w:p w14:paraId="3059B1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省级教育行政部门违反有关管理职责，有下列情形之一的，由国务院教育行政部门责令限期改正，并可给予通报批评。对直接负责的主管人员和其他直接责任人员，由有关主管部门依法给予处分；涉嫌犯罪的，依法移送司法机关处理。</w:t>
      </w:r>
    </w:p>
    <w:p w14:paraId="5116E7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（一）出台与国家招生政策相抵触的招生规定或者超越职权制定招生优惠政策的；</w:t>
      </w:r>
    </w:p>
    <w:p w14:paraId="24366E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（二）擅自扩大国家核定的招生规模和追加招生计划，擅自改变招生计划类型的；</w:t>
      </w:r>
    </w:p>
    <w:p w14:paraId="0C1887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（三）要求招生考试机构和高校违规录取考生的；</w:t>
      </w:r>
    </w:p>
    <w:p w14:paraId="404852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（四）对高校和招生考试机构招生工作监管不力、造成严重不良后果的；</w:t>
      </w:r>
    </w:p>
    <w:p w14:paraId="3453CC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（五）其他违反国家招生管理规定的行为。</w:t>
      </w:r>
    </w:p>
    <w:p w14:paraId="74EF7C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招生工作人员有下列情形之一的，其所在单位应当立即责令暂停其负责的招生工作，由有关部门视情节轻重依法给予相应处分或者其他处理；涉嫌犯罪的，依法移送司法机关处理。</w:t>
      </w:r>
    </w:p>
    <w:p w14:paraId="45AD8A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（一）违规更改考生报名、志愿、资格、分数、录取等信息的；</w:t>
      </w:r>
    </w:p>
    <w:p w14:paraId="645490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（二）对已录取考生违规变更录取学校或者专业的；</w:t>
      </w:r>
    </w:p>
    <w:p w14:paraId="1BDEA9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（三）在特殊类型招生中泄露面试考核考官名单或者利用职务便利请托考核评价的教师，照顾特定考生的；</w:t>
      </w:r>
    </w:p>
    <w:p w14:paraId="3F184C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（四）泄露尚未公布的考生成绩、考生志愿、录取分数线等可能影响录取公正信息的，或者对外泄露、倒卖考生个人信息的；</w:t>
      </w:r>
    </w:p>
    <w:p w14:paraId="2AC18C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（五）为考生获得相关招生资格弄虚作假、徇私舞弊的；</w:t>
      </w:r>
    </w:p>
    <w:p w14:paraId="404D5A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（六）违反回避制度，应当回避而没有回避的；</w:t>
      </w:r>
    </w:p>
    <w:p w14:paraId="69E03F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（七）索取或收受考生及家长财物，接受宴请等可能影响公正履职活动安排的；</w:t>
      </w:r>
    </w:p>
    <w:p w14:paraId="7AD658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（八）参与社会中介机构或者个人非法招生活动的；</w:t>
      </w:r>
    </w:p>
    <w:p w14:paraId="300623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（九）其他影响高校招生公平、公正的行为。</w:t>
      </w:r>
    </w:p>
    <w:p w14:paraId="76D1BB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考生有下列情形之一的，应当如实记入其考试诚信档案。下列行为在报名阶段发现的，取消报考资格；在入学前发现的，取消入学资格；入学后发现的，取消录取资格或者学籍；毕业后发现的，由教育行政部门宣布学历、学位证书无效，责令收回或者予以没收；涉嫌犯罪的，依法移送司法机关处理。</w:t>
      </w:r>
    </w:p>
    <w:p w14:paraId="1C5560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（一）提供虚假姓名、年龄、民族、户籍等个人信息，伪造、非法获得证件、成绩证明、荣誉证书等，骗取报名资格、享受优惠政策的；</w:t>
      </w:r>
    </w:p>
    <w:p w14:paraId="653545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（二）在综合素质评价、相关申请材料中提供虚假材料、影响录取结果的；</w:t>
      </w:r>
    </w:p>
    <w:p w14:paraId="2DF64A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（三）冒名顶替入学，由他人替考入学或者取得优惠资格的；</w:t>
      </w:r>
    </w:p>
    <w:p w14:paraId="6AC480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（四）其他严重违反高校招生规定的弄虚作假行为。</w:t>
      </w:r>
    </w:p>
    <w:p w14:paraId="48B6B4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违反国家教育考试规定、情节严重受到停考处罚，在处罚结束后继续报名参加国家教育考试的，由学校决定是否予以录取。</w:t>
      </w:r>
    </w:p>
    <w:p w14:paraId="3AB4A5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第三章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招生责任制及责任追究</w:t>
      </w:r>
    </w:p>
    <w:p w14:paraId="27D0F7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实行高校招生工作问责制。高校校长、招生考试机构主要负责人、教育行政部门主要负责人是招生工作的第一责任人，对本校、本部门、本地区的招生工作负全面领导责任。</w:t>
      </w:r>
    </w:p>
    <w:p w14:paraId="737E82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在招生工作中，因违规行为造成严重后果和恶劣影响的，除追究直接负责人的责任外，还应当根据领导干部问责的相关规定，对有关责任人实行问责。</w:t>
      </w:r>
    </w:p>
    <w:p w14:paraId="64A515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对在高校招生工作中违规人员的处理，由有权查处的部门按照管理权限，依据《中华人民共和国行政监察法》《行政机关公务员处分条例》《事业单位工作人员处分暂行规定》等相关规定，依法予以监察处理、作出处分决定或者给予其他处理。</w:t>
      </w:r>
    </w:p>
    <w:p w14:paraId="442898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高校招生工作以外的其他人员违规插手、干预招生工作，影响公平公正、造成严重影响和后果的，相关案件线索移送纪检监察机关或者司法机关查处。</w:t>
      </w:r>
    </w:p>
    <w:p w14:paraId="166951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出现本办法第二章规定的违规情形的，有关主管部门应当立即启动相关程序，进行调查处理。情节严重、影响恶劣或者案情复杂、社会影响大的，应当及时上报，必要时由国务院教育行政部门参与或者直接进行处理。</w:t>
      </w:r>
    </w:p>
    <w:p w14:paraId="7ACD76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对有关责任人员违规行为的处理，应当按照国家规定的程序进行。对有关责任人员和考生的违规行为调查和收集证据，应当有2名以上工作人员。作出处理决定之前，应当听取当事人的陈述和申辩。</w:t>
      </w:r>
    </w:p>
    <w:p w14:paraId="323C0D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对处理决定不服的有关责任人员和考生，可以按照国家有关规定提出复核或者申诉；符合法律规定受案范围的，可以依法提起行政复议或者诉讼。</w:t>
      </w:r>
    </w:p>
    <w:p w14:paraId="1D6347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第四章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附则</w:t>
      </w:r>
    </w:p>
    <w:p w14:paraId="1A2F65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本办法所称特殊类型招生，是指自主选拔录取、艺术类专业、体育类专业、保送生等类型的高校招生。</w:t>
      </w:r>
    </w:p>
    <w:p w14:paraId="685699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研究生招生、成人高校招生有关违规行为的处理，参照本办法执行。</w:t>
      </w:r>
    </w:p>
    <w:p w14:paraId="53D0C1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outlineLvl w:val="9"/>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本办法自发布之日起施行。</w:t>
      </w:r>
    </w:p>
    <w:p w14:paraId="48C8F5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outlineLvl w:val="1"/>
        <w:rPr>
          <w:rFonts w:hint="eastAsia" w:ascii="宋体" w:hAnsi="宋体" w:eastAsia="宋体" w:cs="宋体"/>
          <w:b/>
          <w:bCs/>
          <w:i w:val="0"/>
          <w:iCs w:val="0"/>
          <w:caps w:val="0"/>
          <w:color w:val="auto"/>
          <w:spacing w:val="0"/>
          <w:sz w:val="36"/>
          <w:szCs w:val="36"/>
        </w:rPr>
      </w:pPr>
      <w:r>
        <w:rPr>
          <w:rFonts w:hint="eastAsia" w:ascii="仿宋" w:hAnsi="仿宋" w:eastAsia="仿宋" w:cs="仿宋"/>
          <w:i w:val="0"/>
          <w:iCs w:val="0"/>
          <w:caps w:val="0"/>
          <w:color w:val="auto"/>
          <w:spacing w:val="0"/>
          <w:sz w:val="24"/>
          <w:szCs w:val="24"/>
          <w:shd w:val="clear" w:color="auto" w:fill="FFFFFF"/>
        </w:rPr>
        <w:br w:type="page"/>
      </w:r>
      <w:bookmarkStart w:id="8" w:name="_Toc1411"/>
      <w:bookmarkStart w:id="9" w:name="_Toc15301"/>
      <w:r>
        <w:rPr>
          <w:rFonts w:hint="eastAsia" w:ascii="宋体" w:hAnsi="宋体" w:eastAsia="宋体" w:cs="宋体"/>
          <w:b/>
          <w:bCs/>
          <w:i w:val="0"/>
          <w:iCs w:val="0"/>
          <w:caps w:val="0"/>
          <w:color w:val="auto"/>
          <w:spacing w:val="0"/>
          <w:sz w:val="36"/>
          <w:szCs w:val="36"/>
        </w:rPr>
        <w:t>国家教育考试违规处理办法</w:t>
      </w:r>
      <w:bookmarkEnd w:id="8"/>
      <w:bookmarkEnd w:id="9"/>
    </w:p>
    <w:p w14:paraId="4C6931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rPr>
        <w:t>第一章 总则</w:t>
      </w:r>
    </w:p>
    <w:p w14:paraId="68F692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第一条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为规范对国家教育考试违规行为的认定与处理，维护国家教育考试的公平、公正，保障参加国家教育考试的人员</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以下简称考生</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、从事和参与国家教育考试工作的人员</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以下简称考试工作人员</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的合法权益，根据《中华人民共和国教育法》及相关法律、行政法规，制定本办法。</w:t>
      </w:r>
    </w:p>
    <w:p w14:paraId="497B4E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办法所称国家教育考试是指普通和成人高等学校招生考试、全国硕士研究生招生考试、高等教育自学考试等，由国务院教育行政部门确定实施，由经批准的教育考试机构承办，在全国范围内统一举行的教育考试。</w:t>
      </w:r>
    </w:p>
    <w:p w14:paraId="55CCE7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对参加国家教育考试的考生以及考试工作人员、其他相关人员，违反考试管理规定和考场纪律，影响考试公平、公正行为的认定与处理，适用本办法。</w:t>
      </w:r>
    </w:p>
    <w:p w14:paraId="04BEFA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对国家教育考试违规行为的认定与处理应当公开公平、合法适当。</w:t>
      </w:r>
    </w:p>
    <w:p w14:paraId="5A058C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第四条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国务院教育行政部门及地方各级人民政府教育行政部门负责全国或者本地区国家教育考试组织工作的管理与监督。</w:t>
      </w:r>
    </w:p>
    <w:p w14:paraId="0DD8E6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承办国家教育考试的各级教育考试机构负责有关考试的具体实施，依据本办法，负责对考试违规行为的认定与处理。</w:t>
      </w:r>
    </w:p>
    <w:p w14:paraId="075CC5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rPr>
        <w:t>第二章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违规行为的认定与处理</w:t>
      </w:r>
    </w:p>
    <w:p w14:paraId="6DCB15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第五条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考生不遵守考场纪律，不服从考试工作人员的安排与要求，有下列行为之一的，应当认定为考试违纪：</w:t>
      </w:r>
    </w:p>
    <w:p w14:paraId="16F93E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一</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携带规定以外的物品进入考场或者未放在指定位置的；</w:t>
      </w:r>
    </w:p>
    <w:p w14:paraId="037634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二</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未在规定的座位参加考试的；</w:t>
      </w:r>
    </w:p>
    <w:p w14:paraId="5B5FB9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三</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考试开始信号发出前答题或者考试结束信号发出后继续答题的；</w:t>
      </w:r>
    </w:p>
    <w:p w14:paraId="7E70DD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四</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在考试过程中旁窥、交头接耳、互打暗号或者手势的；</w:t>
      </w:r>
    </w:p>
    <w:p w14:paraId="526E27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五</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在考场或者教育考试机构禁止的范围内，喧哗、吸烟或者实施其他影响考场秩序的行为的；</w:t>
      </w:r>
    </w:p>
    <w:p w14:paraId="5C2370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六</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未经考试工作人员同意在考试过程中擅自离开考场的；</w:t>
      </w:r>
    </w:p>
    <w:p w14:paraId="404D98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七</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将试卷、答卷</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含答题卡、答题纸等，下同</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、草稿纸等考试用纸带出考场的；</w:t>
      </w:r>
    </w:p>
    <w:p w14:paraId="4D0A0C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八</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用规定以外的笔或者纸答题或者在试卷规定以外的地方书写姓名、考号或者以其他方式在答卷上标记信息的；</w:t>
      </w:r>
    </w:p>
    <w:p w14:paraId="513562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九</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其他违反考场规则但尚未构成作弊的行为。</w:t>
      </w:r>
    </w:p>
    <w:p w14:paraId="76BF4C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第六条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考生违背考试公平、公正原则，以不正当手段获得或者试图获得试题答案、考试成绩，有下列行为之一的，应当认定为考试作弊：</w:t>
      </w:r>
    </w:p>
    <w:p w14:paraId="253F07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一</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携带与考试内容相关的文字材料或者存储有与考试内容相关资料的电子设备参加考试的；</w:t>
      </w:r>
    </w:p>
    <w:p w14:paraId="607987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二</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抄袭或者协助他人抄袭试题答案或者与考试内容相关的资料的；</w:t>
      </w:r>
    </w:p>
    <w:p w14:paraId="4954E7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三</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抢夺、窃取他人试卷、答卷或者强迫他人为自己抄袭提供方便的；</w:t>
      </w:r>
    </w:p>
    <w:p w14:paraId="69A9A0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四</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在考试过程中使用通讯设备的；</w:t>
      </w:r>
    </w:p>
    <w:p w14:paraId="3F683C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五</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由他人冒名代替参加考试的；</w:t>
      </w:r>
    </w:p>
    <w:p w14:paraId="3C8BB6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六</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故意销毁试卷、答卷或者考试材料的；</w:t>
      </w:r>
    </w:p>
    <w:p w14:paraId="0E16D1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七</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在答卷上填写与本人身份不符的姓名、考号等信息的；</w:t>
      </w:r>
    </w:p>
    <w:p w14:paraId="257D1A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八</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传、接物品或者交换试卷、答卷、草稿纸的；</w:t>
      </w:r>
    </w:p>
    <w:p w14:paraId="257C2B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九</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其他作弊行为。</w:t>
      </w:r>
    </w:p>
    <w:p w14:paraId="432E6A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第七条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教育考试机构、考试工作人员在考试过程中或者在考试结束后发现下列行为之一的，应当认定相关的考生实施了考试作弊行为：</w:t>
      </w:r>
    </w:p>
    <w:p w14:paraId="338238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一</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通过伪造证件、证明、档案及其他材料获得考试资格和考试成绩的；</w:t>
      </w:r>
    </w:p>
    <w:p w14:paraId="24F201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二</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评卷过程中被发现同一科目同一考场有两份以上</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含两份</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答卷答案雷同的；</w:t>
      </w:r>
    </w:p>
    <w:p w14:paraId="137994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三</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考场纪律混乱、考试秩序失控，出现大面积考试作弊现象的；</w:t>
      </w:r>
    </w:p>
    <w:p w14:paraId="4A3A3D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四</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考试工作人员协助实施作弊行为，事后查实的；</w:t>
      </w:r>
    </w:p>
    <w:p w14:paraId="2C853C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五</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其他应认定为作弊的行为。</w:t>
      </w:r>
    </w:p>
    <w:p w14:paraId="697067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第八条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考生及其他人员应当自觉维护考试工作场所的秩序，服从考试工作人员的管理，不得有下列扰乱考场及考试工作场所秩序的行为：</w:t>
      </w:r>
    </w:p>
    <w:p w14:paraId="2A7E38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一</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故意扰乱考点、考场、评卷场所等考试工作场所秩序；</w:t>
      </w:r>
    </w:p>
    <w:p w14:paraId="17F347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二</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拒绝、妨碍考试工作人员履行管理职责；</w:t>
      </w:r>
    </w:p>
    <w:p w14:paraId="5FC195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三</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威胁、侮辱、诽谤、诬陷考试工作人员或其他考生；</w:t>
      </w:r>
    </w:p>
    <w:p w14:paraId="383ED3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四</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其他扰乱考试管理秩序的行为。</w:t>
      </w:r>
    </w:p>
    <w:p w14:paraId="153082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第九条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考生有第五条所列考试违纪行为之一的，取消该科目的考试成绩。</w:t>
      </w:r>
    </w:p>
    <w:p w14:paraId="70A271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考生有第六条、第七条所列考试作弊行为之一的，其当次报名参加考试的各科成绩无效；参加高等教育自学考试考生，视情节轻重，可同时给予停考一至三年，或者延迟毕业时间一至三年的处理，停考期间考试成绩无效。</w:t>
      </w:r>
    </w:p>
    <w:p w14:paraId="0698AA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考生有第八条所列行为之一的，应当终止其继续参加本科目考试，其当次报名参加考试的各科成绩无效；考生及其他人员的行为违反《治安管理处罚条例》的，由公安机关进行处理；构成犯罪的，由司法机关依法追究刑事责任。</w:t>
      </w:r>
    </w:p>
    <w:p w14:paraId="0E0C9D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第十一条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14:paraId="7C5805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第十二条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代替他人或由他人代替参加国家教育考试，是在校生的，由所在学校按有关规定严肃处理，直至开除学籍；其他人员，由教育考试机构建议其所在单位给予行政处分，直至开除或解聘，教育考试机构按照作弊行为记录并向有关单位公开其个人基本信息。</w:t>
      </w:r>
    </w:p>
    <w:p w14:paraId="48CA44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第十三条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14:paraId="36B108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一</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应回避考试工作却隐瞒不报的；</w:t>
      </w:r>
    </w:p>
    <w:p w14:paraId="6768D1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二</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擅自变更考试时间、地点或者考试安排的；</w:t>
      </w:r>
    </w:p>
    <w:p w14:paraId="04ED55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三</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提示或暗示考生答题的；</w:t>
      </w:r>
    </w:p>
    <w:p w14:paraId="1452B9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四</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擅自将试题、答卷或者有关内容带出考场或者传递给他人的；</w:t>
      </w:r>
    </w:p>
    <w:p w14:paraId="6EAD57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五</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在评卷、统分中严重失职，造成明显的错评、漏评或者积分误差的；</w:t>
      </w:r>
    </w:p>
    <w:p w14:paraId="6ED966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六</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在评卷中擅自更改评分细则或者不按评分细则进行评卷的；</w:t>
      </w:r>
    </w:p>
    <w:p w14:paraId="6C7638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七</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因未认真履行职责，造成所负责考场出现雷同卷的；</w:t>
      </w:r>
    </w:p>
    <w:p w14:paraId="12A798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八</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擅自泄露评卷、统分等应予保密的情况的；</w:t>
      </w:r>
    </w:p>
    <w:p w14:paraId="459E7A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九</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其他违反监考、评卷等管理规定的行为。</w:t>
      </w:r>
    </w:p>
    <w:p w14:paraId="1C7F1E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14:paraId="446BA2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一</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为不具备参加国家教育考试条件的人员提供假证明、证件、档案，使其取得考试资格或者考试工作人员资格的；</w:t>
      </w:r>
    </w:p>
    <w:p w14:paraId="2F4B09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二</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因玩忽职守，致使考生未能如期参加考试的或者使考试工作遭受重大损失的；</w:t>
      </w:r>
    </w:p>
    <w:p w14:paraId="241744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三</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利用监考或者从事考试工作之便，为考生作弊提供条件的；</w:t>
      </w:r>
    </w:p>
    <w:p w14:paraId="5D8DDC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四</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伪造、变造考生档案</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含电子档案</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的；</w:t>
      </w:r>
    </w:p>
    <w:p w14:paraId="59D0CF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五</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在场外组织答卷、为考生提供答案的；</w:t>
      </w:r>
    </w:p>
    <w:p w14:paraId="1197C4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六</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指使、纵容或者伙同他人作弊的；</w:t>
      </w:r>
    </w:p>
    <w:p w14:paraId="6CBFE1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七</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偷换、涂改考生答卷、考试成绩或者考场原始记录材料的；</w:t>
      </w:r>
    </w:p>
    <w:p w14:paraId="4C1F16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八</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擅自更改或者编造、虚报考试数据、信息的；</w:t>
      </w:r>
    </w:p>
    <w:p w14:paraId="51A277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九</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利用考试工作便利，索贿、受贿、以权徇私的；</w:t>
      </w:r>
    </w:p>
    <w:p w14:paraId="7FFD2D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十</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诬陷、打击报复考生的。</w:t>
      </w:r>
    </w:p>
    <w:p w14:paraId="6285D4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第十五条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因教育考试机构管理混乱、考试工作人员玩忽职守，造成考点或者考场纪律混乱，作弊现象严重；或者同一考点同一时间的考试有五分之一</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含五分之一</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一至三年的处理。</w:t>
      </w:r>
    </w:p>
    <w:p w14:paraId="50EC53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对出现大规模作弊情况的考场、考点的相关责任人、负责人及所属考区的负责人，有关部门应当分别给予相应的行政处分；情节严重，构成犯罪的，由司法机关依法追究刑事责任。</w:t>
      </w:r>
    </w:p>
    <w:p w14:paraId="6E6755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第十六条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违反保密规定，造成国家教育考试的试题、答案及评分参考</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包括副题及其答案及评分参考，下同</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丢失、泄密，或者使考生答卷在保密期限内发生重大事故的，由有关部门视情节轻重，分别给予责任人和有关负责人行政处分；构成犯罪的，由司法机关依法追究刑事责任。</w:t>
      </w:r>
    </w:p>
    <w:p w14:paraId="64E14D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盗窃、损毁、传播在保密期限内的国家教育考试试题、答案及评分参考、考生答卷、考试成绩的，由有关部门依法追究有关人员的责任；构成犯罪的，由司法机关依法追究刑事责任。</w:t>
      </w:r>
    </w:p>
    <w:p w14:paraId="647232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第十七条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在职人员及其他人员有下列行为之一的，由教育考试机构建议其所在单位给予行政处分或者由有关部门处理；构成犯罪的，由司法机关依法追究刑事责任：</w:t>
      </w:r>
    </w:p>
    <w:p w14:paraId="4E1AE5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二</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代替他人或者由他人代替参加国家教育考试的；</w:t>
      </w:r>
    </w:p>
    <w:p w14:paraId="292E95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三</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参与或者组织他人进行考试作弊的；</w:t>
      </w:r>
    </w:p>
    <w:p w14:paraId="223C5C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四</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利用职权，包庇、掩盖作弊行为或者胁迫他人作弊的；</w:t>
      </w:r>
    </w:p>
    <w:p w14:paraId="23734E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五</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以打击、报复、诬陷、威胁等手段侵犯考试工作人员、考生人身权利的；</w:t>
      </w:r>
    </w:p>
    <w:p w14:paraId="544CD2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六</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向考试工作人员行贿的；</w:t>
      </w:r>
    </w:p>
    <w:p w14:paraId="5ED3A3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七</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故意损坏考试设施的；</w:t>
      </w:r>
    </w:p>
    <w:p w14:paraId="49551C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八</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扰乱、妨害考场、评卷点及有关考试工作场所秩序后果严重的。</w:t>
      </w:r>
    </w:p>
    <w:p w14:paraId="37494A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rPr>
        <w:t>第三章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违规行为认定与处理程序</w:t>
      </w:r>
    </w:p>
    <w:p w14:paraId="1EB42B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第十八条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考试工作人员在考试过程中发现考生实施本办法第五条、第六条所列考试违纪、作弊行为的，应当及时予以纠正并如实记录；对考生用于作弊的材料、工具等，应予暂扣。</w:t>
      </w:r>
    </w:p>
    <w:p w14:paraId="369A56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考生违规记录作为认定考生违规事实的依据，应当由两名以上</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含两名</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监考员或者考场巡视员、督考员签字确认。</w:t>
      </w:r>
    </w:p>
    <w:p w14:paraId="7F4D80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考试工作人员应当向违纪考生告知违规记录的内容，对暂扣的考生物品应填写收据。</w:t>
      </w:r>
    </w:p>
    <w:p w14:paraId="6D783A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第十九条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教育考试机构发现本办法第七条、第八条所列行为的，应当由两名以上</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含两名</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工作人员进行事实调查，收集、保存相应的证据材料，并在调查事实和证据的基础上，对所涉及考生的违规行为进行认定。</w:t>
      </w:r>
    </w:p>
    <w:p w14:paraId="174DD6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考点汇总考生违规记录，汇总情况经考点主考签字认定后，报送上级教育考试机构依据本办法的规定进行处理。</w:t>
      </w:r>
    </w:p>
    <w:p w14:paraId="7AD516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第二十一条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考生在普通和成人高等学校招生考试、高等教育自学考试中，出现第五条所列考试违纪行为的，由省级教育考试机构或者地</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市</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级教育考试机构做出处理决定，由地</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市</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级教育考试机构做出的处理决定应报省级教育考试机构备案；出现第六条、第七条所列考试作弊行为的，由地</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市</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级教育考试机构签署意见，报省级教育考试机构处理，省级教育考试机构也可以要求地</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市</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级教育考试机构报送材料及证据，直接进行处理；出现本办法第八条所列扰乱考试秩序行为的，由地</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市</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地</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市</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级教育考试机构。</w:t>
      </w:r>
    </w:p>
    <w:p w14:paraId="0143DC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参加其他国家教育考试考生违规行为的处理由承办有关国家教育考试的考试机构参照前款规定具体确定。</w:t>
      </w:r>
    </w:p>
    <w:p w14:paraId="7DC11C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第二十二条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教育行政部门和其他有关部门在考点、考场出现大面积作弊情况或者需要对教育考试机构实施监督的情况下，应当直接介入调查和处理。</w:t>
      </w:r>
    </w:p>
    <w:p w14:paraId="07184A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发生第十四、十五、十六条所列案件，情节严重的，由省级教育行政部门会同有关部门共同处理，并及时报告国务院教育行政部门；必要时，国务院教育行政部门参与或者直接进行处理。</w:t>
      </w:r>
    </w:p>
    <w:p w14:paraId="3048DE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考试工作人员在考场、考点及评卷过程中有违反本办法的行为的，考点主考、评卷点负责人应当暂停其工作，并报相应的教育考试机构处理。</w:t>
      </w:r>
    </w:p>
    <w:p w14:paraId="0A9BAF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第二十四条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在其他与考试相关的场所违反有关规定的考生，由地</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市</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级教育考试机构或者省级教育考试机构做出处理决定；地</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市</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级教育考试机构做出的处理决定应报省级教育考试机构备案。</w:t>
      </w:r>
    </w:p>
    <w:p w14:paraId="573D82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在其他与考试相关的场所违反有关规定的考试工作人员，由所在单位根据地</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市</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级教育考试机构或者省级教育考试机构提出的处理意见，进行处理，处理结果应当向提出处理的教育考试机构通报。</w:t>
      </w:r>
    </w:p>
    <w:p w14:paraId="0B1A02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第二十五条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14:paraId="4CA483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被处理人受到停考处理的，可以要求举行听证。</w:t>
      </w:r>
    </w:p>
    <w:p w14:paraId="44BC2C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第二十六条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教育考试机构做出处理决定应制作考试违规处理决定书，载明被处理人的姓名或者单位名称、处理事实根据和法律依据、处理决定的内容、救济途径以及做出处理决定的机构名称和做出处理决定的时间。</w:t>
      </w:r>
    </w:p>
    <w:p w14:paraId="42D7DF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考试违规处理决定书应当及时送达被处理人。</w:t>
      </w:r>
    </w:p>
    <w:p w14:paraId="290544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第二十七条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考生或者考试工作人员对教育考试机构做出的违规处理决定不服的，可以在收到处理决定之日起十五日内，向其上一级教育考试机构提出复核申请；对省级教育考试机构或者承办国家教育考试的机构做出的处理决定不服的，也可以向省级教育行政部门或者授权承担国家教育考试的主管部门提出复核申请。</w:t>
      </w:r>
    </w:p>
    <w:p w14:paraId="608F95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第二十八条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受理复核申请的教育考试机构、教育行政部门应对处理决定所认定的违规事实和适用的依据等进行审查，并在受理后三十日内，按照下列规定作出复核决定：</w:t>
      </w:r>
    </w:p>
    <w:p w14:paraId="4810AB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一</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处理决定认定事实清楚、证据确凿，适用依据正确，程序合法，内容适当的，决定维持；</w:t>
      </w:r>
    </w:p>
    <w:p w14:paraId="79BFC0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二</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处理决定有下列情况之一的，决定撤销或者变更：</w:t>
      </w:r>
    </w:p>
    <w:p w14:paraId="2B042A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1．违规事实认定不清、证据不足的；</w:t>
      </w:r>
    </w:p>
    <w:p w14:paraId="33B3F5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2．适用依据错误的；</w:t>
      </w:r>
    </w:p>
    <w:p w14:paraId="6409FA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3．违反本办法规定的处理程序的。</w:t>
      </w:r>
    </w:p>
    <w:p w14:paraId="71BE9A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做出决定的教育考试机构对因错误的处理决定给考生造成的损失，应当予以补救。</w:t>
      </w:r>
    </w:p>
    <w:p w14:paraId="5B9C43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第二十九条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申请人对复核决定或者处理决定不服的，可以依据《行政复议法》和《行政诉讼法》的有关规定，申请行政复议或者行政诉讼。</w:t>
      </w:r>
    </w:p>
    <w:p w14:paraId="1FC17C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教育考试机构应当建立考生诚信档案，记录、保留在国家教育考试中作弊考生的相关信息。</w:t>
      </w:r>
    </w:p>
    <w:p w14:paraId="2DD781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教育考试机构应当接受社会有关方面对考生诚信档案的查询，并及时向招生机构提供相关信息。</w:t>
      </w:r>
    </w:p>
    <w:p w14:paraId="6285B5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1"/>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第三十一条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省级教育考试机构应当及时汇总本地区违反规定的考生及考试工作人员的处理情况，并向国家教育考试机构报告。</w:t>
      </w:r>
    </w:p>
    <w:p w14:paraId="5A1FA6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黑体" w:hAnsi="黑体" w:eastAsia="黑体" w:cs="黑体"/>
          <w:b/>
          <w:bCs/>
          <w:color w:val="auto"/>
          <w:sz w:val="24"/>
          <w:szCs w:val="24"/>
        </w:rPr>
      </w:pPr>
      <w:r>
        <w:rPr>
          <w:rFonts w:hint="eastAsia" w:ascii="黑体" w:hAnsi="黑体" w:eastAsia="黑体" w:cs="黑体"/>
          <w:b/>
          <w:bCs/>
          <w:i w:val="0"/>
          <w:iCs w:val="0"/>
          <w:caps w:val="0"/>
          <w:color w:val="auto"/>
          <w:spacing w:val="0"/>
          <w:sz w:val="24"/>
          <w:szCs w:val="24"/>
        </w:rPr>
        <w:t>第四章</w:t>
      </w:r>
      <w:r>
        <w:rPr>
          <w:rFonts w:hint="eastAsia" w:ascii="黑体" w:hAnsi="黑体" w:eastAsia="黑体" w:cs="黑体"/>
          <w:b/>
          <w:bCs/>
          <w:i w:val="0"/>
          <w:iCs w:val="0"/>
          <w:caps w:val="0"/>
          <w:color w:val="auto"/>
          <w:spacing w:val="0"/>
          <w:sz w:val="24"/>
          <w:szCs w:val="24"/>
          <w:lang w:val="en-US" w:eastAsia="zh-CN"/>
        </w:rPr>
        <w:t xml:space="preserve"> </w:t>
      </w:r>
      <w:r>
        <w:rPr>
          <w:rFonts w:hint="eastAsia" w:ascii="黑体" w:hAnsi="黑体" w:eastAsia="黑体" w:cs="黑体"/>
          <w:b/>
          <w:bCs/>
          <w:i w:val="0"/>
          <w:iCs w:val="0"/>
          <w:caps w:val="0"/>
          <w:color w:val="auto"/>
          <w:spacing w:val="0"/>
          <w:sz w:val="24"/>
          <w:szCs w:val="24"/>
        </w:rPr>
        <w:t>附则</w:t>
      </w:r>
    </w:p>
    <w:p w14:paraId="56BDAE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第三十二条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本办法所称考场是指实施考试的封闭空间；所称考点是指设置若干考场独立进行考务活动的特定场所；所称考区是指由省级教育考试机构设置，由若干考点组成，进行国家教育考试实施工作的特定地区。</w:t>
      </w:r>
    </w:p>
    <w:p w14:paraId="7CC6B9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第三十三条</w:t>
      </w:r>
      <w:r>
        <w:rPr>
          <w:rFonts w:hint="eastAsia" w:ascii="仿宋" w:hAnsi="仿宋" w:eastAsia="仿宋" w:cs="仿宋"/>
          <w:b/>
          <w:bCs/>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非全日制攻读硕士学位全国考试、中国人民解放军高等教育自学考试及其他各级各类教育考试的违规处理可以参照本办法执行。</w:t>
      </w:r>
    </w:p>
    <w:p w14:paraId="4DF4DC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rPr>
        <w:t>第三十四条</w:t>
      </w:r>
      <w:r>
        <w:rPr>
          <w:rFonts w:hint="eastAsia" w:ascii="仿宋" w:hAnsi="仿宋" w:eastAsia="仿宋" w:cs="仿宋"/>
          <w:i w:val="0"/>
          <w:iCs w:val="0"/>
          <w:caps w:val="0"/>
          <w:color w:val="auto"/>
          <w:spacing w:val="0"/>
          <w:sz w:val="24"/>
          <w:szCs w:val="24"/>
          <w:lang w:val="en-US" w:eastAsia="zh-CN"/>
        </w:rPr>
        <w:t xml:space="preserve"> </w:t>
      </w:r>
      <w:r>
        <w:rPr>
          <w:rFonts w:hint="eastAsia" w:ascii="仿宋" w:hAnsi="仿宋" w:eastAsia="仿宋" w:cs="仿宋"/>
          <w:i w:val="0"/>
          <w:iCs w:val="0"/>
          <w:caps w:val="0"/>
          <w:color w:val="auto"/>
          <w:spacing w:val="0"/>
          <w:sz w:val="24"/>
          <w:szCs w:val="24"/>
        </w:rPr>
        <w:t>本办法自发布之日起施行。此前教育部颁布的各有关国家教育考试的违规处理规定同时废止。</w:t>
      </w:r>
    </w:p>
    <w:p w14:paraId="67D3436D">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123893AF">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0610F27E">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087D1B3A">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300AD40F">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29449E4B">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414444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val="0"/>
          <w:i w:val="0"/>
          <w:iCs w:val="0"/>
          <w:caps w:val="0"/>
          <w:color w:val="auto"/>
          <w:spacing w:val="0"/>
          <w:sz w:val="36"/>
          <w:szCs w:val="36"/>
        </w:rPr>
      </w:pPr>
      <w:r>
        <w:rPr>
          <w:rStyle w:val="14"/>
          <w:rFonts w:hint="eastAsia" w:ascii="宋体" w:hAnsi="宋体" w:eastAsia="宋体" w:cs="宋体"/>
          <w:b/>
          <w:bCs w:val="0"/>
          <w:i w:val="0"/>
          <w:iCs w:val="0"/>
          <w:caps w:val="0"/>
          <w:color w:val="auto"/>
          <w:spacing w:val="0"/>
          <w:sz w:val="36"/>
          <w:szCs w:val="36"/>
          <w:shd w:val="clear" w:color="auto" w:fill="FFFFFF"/>
        </w:rPr>
        <w:br w:type="page"/>
      </w:r>
      <w:bookmarkStart w:id="10" w:name="_Toc27304"/>
      <w:bookmarkStart w:id="11" w:name="_Toc14494"/>
      <w:r>
        <w:rPr>
          <w:rStyle w:val="14"/>
          <w:rFonts w:hint="eastAsia" w:ascii="宋体" w:hAnsi="宋体" w:eastAsia="宋体" w:cs="宋体"/>
          <w:b/>
          <w:bCs w:val="0"/>
          <w:i w:val="0"/>
          <w:iCs w:val="0"/>
          <w:caps w:val="0"/>
          <w:color w:val="auto"/>
          <w:spacing w:val="0"/>
          <w:sz w:val="36"/>
          <w:szCs w:val="36"/>
          <w:shd w:val="clear" w:color="auto" w:fill="FFFFFF"/>
        </w:rPr>
        <w:t>高等学校预防与处理学术不端行为办法</w:t>
      </w:r>
      <w:bookmarkEnd w:id="10"/>
      <w:bookmarkEnd w:id="11"/>
    </w:p>
    <w:p w14:paraId="0B3334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第一章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总则</w:t>
      </w:r>
    </w:p>
    <w:p w14:paraId="1B324B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有效预防和严肃查处高等学校发生的学术不端行为，维护学术诚信，促进学术创新和发展，根据《中华人民共和国高等教育法》《中华人民共和国科学技术进步法》《中华人民共和国学位条例》等法律法规，制定本办法。</w:t>
      </w:r>
    </w:p>
    <w:p w14:paraId="7D9245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本办法所称学术不端行为是指高等学校及其教学科研人员、管理人员和学生，在科学研究及相关活动中发生的违反公认的学术准则、违背学术诚信的行为。</w:t>
      </w:r>
    </w:p>
    <w:p w14:paraId="64A496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高等学校预防与处理学术不端行为应坚持预防为主、教育与惩戒结合的原则。</w:t>
      </w:r>
    </w:p>
    <w:p w14:paraId="304642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14:paraId="14558A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14:paraId="1B8C55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高等学校应当充分发挥学术委员会在学风建设方面的作用，支持和保障学术委员会依法履行职责，调查、认定学术不端行为。</w:t>
      </w:r>
    </w:p>
    <w:p w14:paraId="055A81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第二章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教育与预防</w:t>
      </w:r>
    </w:p>
    <w:p w14:paraId="1CD771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高等学校应当完善学术治理体系，建立科学公正的学术评价和学术发展制度，营造鼓励创新、宽容失败、不骄不躁、风清气正的学术环境。</w:t>
      </w:r>
    </w:p>
    <w:p w14:paraId="4C69B4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高等学校教学科研人员、管理人员、学生在科研活动中应当遵循实事求是的科学精神和严谨认真的治学态度，恪守学术诚信，遵循学术准则，尊重和保护他人知识产权等合法权益。</w:t>
      </w:r>
    </w:p>
    <w:p w14:paraId="523408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高等学校应当将学术规范和学术诚信教育，作为教师培训和学生教育的必要内容，以多种形式开展教育、培训。</w:t>
      </w:r>
    </w:p>
    <w:p w14:paraId="446C15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教师对其指导的学生应当进行学术规范、学术诚信教育和指导，对学生公开发表论文、研究和撰写学位论文是否符合学术规范、学术诚信要求，进行必要的检查与审核。</w:t>
      </w:r>
    </w:p>
    <w:p w14:paraId="633CD9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高等学校应当利用信息技术等手段，建立对学术成果、学位论文所涉及内容的知识产权查询制度，健全学术规范监督机制。</w:t>
      </w:r>
    </w:p>
    <w:p w14:paraId="55D174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高等学校应当建立健全科研管理制度，在合理期限内保存研究的原始数据和资料，保证科研档案和数据的真实性、完整性。</w:t>
      </w:r>
    </w:p>
    <w:p w14:paraId="47029E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高等学校应当完善科研项目评审、学术成果鉴定程序，结合学科特点，对非涉密的科研项目申报材料、学术成果的基本信息以适当方式进行公开。</w:t>
      </w:r>
    </w:p>
    <w:p w14:paraId="3BBA6A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高等学校应当遵循学术研究规律，建立科学的学术水平考核评价标准、办法，引导教学科研人员和学生潜心研究，形成具有创新性、独创性的研究成果。</w:t>
      </w:r>
    </w:p>
    <w:p w14:paraId="1289EF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高等学校应当建立教学科研人员学术诚信记录，在年度考核、职称评定、岗位聘用、课题立项、人才计划、评优奖励中强化学术诚信考核。</w:t>
      </w:r>
    </w:p>
    <w:p w14:paraId="435D2D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第三章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受理与调查</w:t>
      </w:r>
    </w:p>
    <w:p w14:paraId="40627D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14:paraId="5411D3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对学术不端行为的举报，一般应当以书面方式实名提出，并符合下列条件：</w:t>
      </w:r>
    </w:p>
    <w:p w14:paraId="19CFAF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（一）有明确的举报对象；</w:t>
      </w:r>
    </w:p>
    <w:p w14:paraId="0BF906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（二）有实施学术不端行为的事实；</w:t>
      </w:r>
    </w:p>
    <w:p w14:paraId="1A1775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（三）有客观的证据材料或者查证线索。</w:t>
      </w:r>
    </w:p>
    <w:p w14:paraId="2E3609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以匿名方式举报，但事实清楚、证据充分或者线索明确的，高等学校应当视情况予以受理。</w:t>
      </w:r>
    </w:p>
    <w:p w14:paraId="53476B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高等学校对媒体公开报道、其他学术机构或者社会组织主动披露的涉及本校人员的学术不端行为，应当依据职权，主动进行调查处理。</w:t>
      </w:r>
    </w:p>
    <w:p w14:paraId="1F722A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高等学校受理机构认为举报材料符合条件的，应当及时作出受理决定，并通知举报人。不予受理的，应当书面说明理由。</w:t>
      </w:r>
    </w:p>
    <w:p w14:paraId="40104E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学术不端行为举报受理后，应当交由学校学术委员会按照相关程序组织开展调查。</w:t>
      </w:r>
    </w:p>
    <w:p w14:paraId="11F134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学术委员会可委托有关专家就举报内容的合理性、调查的可能性等进行初步审查，并作出是否进入正式调查的决定。</w:t>
      </w:r>
    </w:p>
    <w:p w14:paraId="61683B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决定不进入正式调查的，应当告知举报人。举报人如有新的证据，可以提出异议。异议成立的，应当进入正式调查。</w:t>
      </w:r>
    </w:p>
    <w:p w14:paraId="6FA9B2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高等学校学术委员会决定进入正式调查的，应当通知被举报人。</w:t>
      </w:r>
    </w:p>
    <w:p w14:paraId="31243C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被调查行为涉及资助项目的，可以同时通知项目资助方。</w:t>
      </w:r>
    </w:p>
    <w:p w14:paraId="11EBCE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高等学校学术委员会应当组成调查组，负责对被举报行为进行调查；但对事实清楚、证据确凿、情节简单的被举报行为，也可以采用简易调查程序，具体办法由学术委员会确定。</w:t>
      </w:r>
    </w:p>
    <w:p w14:paraId="14C246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调查组应当不少于３人，必要时应当包括学校纪检、监察机构指派的工作人员，可以邀请同行专家参与调查或者以咨询等方式提供学术判断。</w:t>
      </w:r>
    </w:p>
    <w:p w14:paraId="62D242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被调查行为涉及资助项目的，可以邀请项目资助方委派相关专业人员参与调查组。</w:t>
      </w:r>
    </w:p>
    <w:p w14:paraId="5AD913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调查组的组成人员与举报人或者被举报人有合作研究、亲属或者导师学生等直接利害关系的，应当回避。</w:t>
      </w:r>
    </w:p>
    <w:p w14:paraId="348AD2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调查可通过查询资料、现场查看、实验检验、询问证人、询问举报人和被举报人等方式进行。调查组认为有必要的，可以委托无利害关系的专家或者第三方专业机构就有关事项进行独立调查或者验证。</w:t>
      </w:r>
    </w:p>
    <w:p w14:paraId="2FA2D8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调查组在调查过程中，应当认真听取被举报人的陈述、申辩，对有关事实、理由和证据进行核实；认为必要的，可以采取听证方式。</w:t>
      </w:r>
    </w:p>
    <w:p w14:paraId="3A15A4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有关单位和个人应当为调查组开展工作提供必要的便利和协助。</w:t>
      </w:r>
    </w:p>
    <w:p w14:paraId="0BA159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举报人、被举报人、证人及其他有关人员应当如实回答询问，配合调查，提供相关证据材料，不得隐瞒或者提供虚假信息。</w:t>
      </w:r>
    </w:p>
    <w:p w14:paraId="7697CD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调查过程中，出现知识产权等争议引发的法律纠纷的，且该争议可能影响行为定性的，应当中止调查，待争议解决后重启调查。</w:t>
      </w:r>
    </w:p>
    <w:p w14:paraId="075E6B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调查组应当在查清事实的基础上形成调查报告。调查报告应当包括学术不端行为责任人的确认、调查过程、事实认定及理由、调查结论等。</w:t>
      </w:r>
    </w:p>
    <w:p w14:paraId="5B638B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学术不端行为由多人集体做出的，调查报告中应当区别各责任人在行为中所发挥的作用。</w:t>
      </w:r>
    </w:p>
    <w:p w14:paraId="1F18D0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接触举报材料和参与调查处理的人员，不得向无关人员透露举报人、被举报人个人信息及调查情况。</w:t>
      </w:r>
    </w:p>
    <w:p w14:paraId="199D59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 w:hAnsi="仿宋" w:eastAsia="仿宋" w:cs="仿宋"/>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第四章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认定</w:t>
      </w:r>
    </w:p>
    <w:p w14:paraId="077CFA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高等学校学术委员会应当对调查组提交的调查报告进行审查；必要的，应当听取调查组的汇报。</w:t>
      </w:r>
    </w:p>
    <w:p w14:paraId="212596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学术委员会可以召开全体会议或者授权专门委员会对被调查行为是否构成学术不端行为以及行为的性质、情节等作出认定结论，并依职权作出处理或建议学校作出相应处理。</w:t>
      </w:r>
    </w:p>
    <w:p w14:paraId="11EEF4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经调查，确认被举报人在科学研究及相关活动中有下列行为之一的，应当认定为构成学术不端行为：</w:t>
      </w:r>
    </w:p>
    <w:p w14:paraId="120EDC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（一）剽窃、抄袭、侵占他人学术成果；</w:t>
      </w:r>
    </w:p>
    <w:p w14:paraId="6EEED7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（二）篡改他人研究成果；</w:t>
      </w:r>
    </w:p>
    <w:p w14:paraId="030ADA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（三）伪造科研数据、资料、文献、注释，或者捏造事实、编造虚假研究成果；</w:t>
      </w:r>
    </w:p>
    <w:p w14:paraId="159D8E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（四）未参加研究或创作而在研究成果、学术论文上署名，未经他人许可而不当使用他人署名，虚构合作者共同署名，或者多人共同完成研究而在成果中未注明他人工作、贡献；</w:t>
      </w:r>
    </w:p>
    <w:p w14:paraId="43064E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（五）在申报课题、成果、奖励和职务评审评定、申请学位等过程中提供虚假学术信息；</w:t>
      </w:r>
    </w:p>
    <w:p w14:paraId="0A3B89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（六）买卖论文、由他人代写或者为他人代写论文；</w:t>
      </w:r>
    </w:p>
    <w:p w14:paraId="04F4B8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（七）其他根据高等学校或者有关学术组织、相关科研管理机构制定的规则，属于学术不端的行为。</w:t>
      </w:r>
    </w:p>
    <w:p w14:paraId="19EE71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第二十八条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有学术不端行为且有下列情形之一的，应当认定为情节严重：</w:t>
      </w:r>
    </w:p>
    <w:p w14:paraId="1A4119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（一）造成恶劣影响的；</w:t>
      </w:r>
    </w:p>
    <w:p w14:paraId="68C1F1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（二）存在利益输送或者利益交换的；</w:t>
      </w:r>
    </w:p>
    <w:p w14:paraId="12D9DC5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（三）对举报人进行打击报复的；</w:t>
      </w:r>
    </w:p>
    <w:p w14:paraId="3950D8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（四）有组织实施学术不端行为的；</w:t>
      </w:r>
    </w:p>
    <w:p w14:paraId="25EBE6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（五）多次实施学术不端行为的；</w:t>
      </w:r>
    </w:p>
    <w:p w14:paraId="36381A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jc w:val="left"/>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（六）其他造成严重后果或者恶劣影响的。</w:t>
      </w:r>
    </w:p>
    <w:p w14:paraId="33BF13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第五章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处理</w:t>
      </w:r>
    </w:p>
    <w:p w14:paraId="6A8C83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高等学校应当根据学术委员会的认定结论和处理建议，结合行为性质和情节轻重，依职权和规定程序对学术不端行为责任人作出如下处理：</w:t>
      </w:r>
    </w:p>
    <w:p w14:paraId="032C99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（一）通报批评；</w:t>
      </w:r>
    </w:p>
    <w:p w14:paraId="60032D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（二）终止或者撤销相关的科研项目，并在一定期限内取消申请资格；</w:t>
      </w:r>
    </w:p>
    <w:p w14:paraId="74C56C7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（三）撤销学术奖励或者荣誉称号；</w:t>
      </w:r>
    </w:p>
    <w:p w14:paraId="3BABE6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（四）辞退或解聘；</w:t>
      </w:r>
    </w:p>
    <w:p w14:paraId="4437A2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及规章规定的其他处理措施。</w:t>
      </w:r>
    </w:p>
    <w:p w14:paraId="755B4F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同时，可以依照有关规定，给予警告、记过、降低岗位等级或者撤职、开除等处分。</w:t>
      </w:r>
    </w:p>
    <w:p w14:paraId="6D64DA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学术不端行为责任人获得有关部门、机构设立的科研项目、学术奖励或者荣誉称号等利益的，学校应当同时向有关主管部门提出处理建议。</w:t>
      </w:r>
    </w:p>
    <w:p w14:paraId="11F9BB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学生有学术不端行为的，还应当按照学生管理的相关规定，给予相应的学籍处分。</w:t>
      </w:r>
    </w:p>
    <w:p w14:paraId="581A6E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学术不端行为与获得学位有直接关联的，由学位授予单位作暂缓授予学位、不授予学位或者依法撤销学位等处理。</w:t>
      </w:r>
    </w:p>
    <w:p w14:paraId="3A1D85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高等学校对学术不端行为作出处理决定，应当制作处理决定书，载明以下内容：</w:t>
      </w:r>
    </w:p>
    <w:p w14:paraId="35839E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（一）责任人的基本情况；</w:t>
      </w:r>
    </w:p>
    <w:p w14:paraId="7C6206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（二）经查证的学术不端行为事实；</w:t>
      </w:r>
    </w:p>
    <w:p w14:paraId="4C98AC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（三）处理意见和依据；</w:t>
      </w:r>
    </w:p>
    <w:p w14:paraId="623AD3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（四）救济途径和期限；</w:t>
      </w:r>
    </w:p>
    <w:p w14:paraId="5D0564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（五）其他必要内容。</w:t>
      </w:r>
    </w:p>
    <w:p w14:paraId="7065BE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经调查认定，不构成学术不端行为的，根据被举报人申请，高等学校应当通过一定方式为其消除影响、恢复名誉等。</w:t>
      </w:r>
    </w:p>
    <w:p w14:paraId="4F287A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调查处理过程中，发现举报人存在捏造事实、诬告陷害等行为的，应当认定为举报不实或者虚假举报，举报人应当承担相应责任。属于本单位人员的，高等学校应当按照有关规定给予处理；不属于本单位人员的，应通报其所在单位，并提出处理建议。</w:t>
      </w:r>
    </w:p>
    <w:p w14:paraId="5D0E62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参与举报受理、调查和处理的人员违反保密等规定，造成不良影响的，按照有关规定给予处分或其他处理。</w:t>
      </w:r>
    </w:p>
    <w:p w14:paraId="3DC92D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第六章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复核</w:t>
      </w:r>
    </w:p>
    <w:p w14:paraId="1FBAE9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举报人或者学术不端行为责任人对处理决定不服的，可以在收到处理决定之日起30日内，以书面形式向高等学校提出异议或者复核申请。</w:t>
      </w:r>
    </w:p>
    <w:p w14:paraId="55C607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异议和复核不影响处理决定的执行。</w:t>
      </w:r>
    </w:p>
    <w:p w14:paraId="3AFECE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高等学校收到异议或者复核申请后，应当交由学术委员会组织讨论，并于15日内作出是否受理的决定。</w:t>
      </w:r>
    </w:p>
    <w:p w14:paraId="515F62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决定受理的，学校或者学术委员会可以另行组织调查组或者委托第三方机构进行调查；决定不予受理的，应当书面通知当事人。</w:t>
      </w:r>
    </w:p>
    <w:p w14:paraId="065459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当事人对复核决定不服，仍以同一事实和理由提出异议或者申请复核的，不予受理；向有关主管部门提出申诉的，按照相关规定执行。</w:t>
      </w:r>
    </w:p>
    <w:p w14:paraId="3686EA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第七章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监督</w:t>
      </w:r>
    </w:p>
    <w:p w14:paraId="7ED2AA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高等学校应当按年度发布学风建设工作报告，并向社会公开，接受社会监督。</w:t>
      </w:r>
    </w:p>
    <w:p w14:paraId="4BBB43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高等学校处理学术不端行为推诿塞责、隐瞒包庇、查处不力的，主管部门可以直接组织或者委托相关机构查处。</w:t>
      </w:r>
    </w:p>
    <w:p w14:paraId="7D00D3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高等学校对本校发生的学术不端行为，未能及时查处并做出公正结论，造成恶劣影响的，主管部门应当追究相关领导的责任，并进行通报。</w:t>
      </w:r>
    </w:p>
    <w:p w14:paraId="6A7862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高等学校为获得相关利益，有组织实施学术不端行为的，主管部门调查确认后，应当撤销高等学校由此获得的相关权利、项目以及其他利益，并追究学校主要负责人、直接负责人的责任。</w:t>
      </w:r>
    </w:p>
    <w:p w14:paraId="2A6739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第八章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附则</w:t>
      </w:r>
    </w:p>
    <w:p w14:paraId="2F6DD7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高等学校应当根据本办法，结合学校实际和学科特点，制定本校学术不端行为查处规则及处理办法，明确各类学术不端行为的惩处标准。有关规则应当经学校学术委员会和教职工代表大会讨论通过。</w:t>
      </w:r>
    </w:p>
    <w:p w14:paraId="75603A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高等学校主管部门对直接受理的学术不端案件，可自行组织调查组或者指定、委托高等学校、有关机构组织调查、认定。对学术不端行为责任人的处理，根据本办法及国家有关规定执行。</w:t>
      </w:r>
    </w:p>
    <w:p w14:paraId="5CC7D8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教育系统所属科研机构及其他单位有关人员学术不端行为的调查与处理，可参照本办法执行。</w:t>
      </w:r>
    </w:p>
    <w:p w14:paraId="22F123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本办法自2016年9月1日起施行。</w:t>
      </w:r>
    </w:p>
    <w:p w14:paraId="1165CF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教育部此前发布的有关规章、文件中的相关规定与本办法不一致的，以本办法为准。</w:t>
      </w:r>
    </w:p>
    <w:p w14:paraId="1AF1743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1"/>
        <w:rPr>
          <w:rStyle w:val="14"/>
          <w:rFonts w:hint="eastAsia" w:ascii="宋体" w:hAnsi="宋体" w:eastAsia="宋体" w:cs="宋体"/>
          <w:bCs w:val="0"/>
          <w:i w:val="0"/>
          <w:iCs w:val="0"/>
          <w:caps w:val="0"/>
          <w:color w:val="auto"/>
          <w:spacing w:val="0"/>
          <w:kern w:val="0"/>
          <w:sz w:val="36"/>
          <w:szCs w:val="36"/>
          <w:shd w:val="clear" w:color="auto" w:fill="FFFFFF"/>
          <w:lang w:val="en-US" w:eastAsia="zh-CN" w:bidi="ar"/>
        </w:rPr>
      </w:pPr>
      <w:r>
        <w:rPr>
          <w:rFonts w:hint="eastAsia" w:ascii="仿宋" w:hAnsi="仿宋" w:eastAsia="仿宋" w:cs="仿宋"/>
          <w:color w:val="auto"/>
          <w:sz w:val="24"/>
          <w:szCs w:val="24"/>
        </w:rPr>
        <w:br w:type="page"/>
      </w:r>
      <w:bookmarkStart w:id="12" w:name="_Toc1573466385"/>
      <w:bookmarkStart w:id="13" w:name="_Toc420683907"/>
      <w:bookmarkStart w:id="14" w:name="_Toc1632892"/>
      <w:bookmarkStart w:id="15" w:name="_Toc874"/>
      <w:bookmarkStart w:id="16" w:name="_Toc838493777"/>
      <w:bookmarkStart w:id="17" w:name="_Toc31497"/>
      <w:bookmarkStart w:id="18" w:name="_Toc14646"/>
      <w:bookmarkStart w:id="19" w:name="_Toc26103"/>
      <w:bookmarkStart w:id="20" w:name="_Toc27369"/>
      <w:bookmarkStart w:id="21" w:name="_Toc917"/>
      <w:r>
        <w:rPr>
          <w:rStyle w:val="14"/>
          <w:rFonts w:hint="eastAsia" w:ascii="宋体" w:hAnsi="宋体" w:eastAsia="宋体" w:cs="宋体"/>
          <w:bCs w:val="0"/>
          <w:i w:val="0"/>
          <w:iCs w:val="0"/>
          <w:caps w:val="0"/>
          <w:color w:val="auto"/>
          <w:spacing w:val="0"/>
          <w:kern w:val="0"/>
          <w:sz w:val="36"/>
          <w:szCs w:val="36"/>
          <w:shd w:val="clear" w:color="auto" w:fill="FFFFFF"/>
          <w:lang w:val="en-US" w:eastAsia="zh-CN" w:bidi="ar"/>
        </w:rPr>
        <w:t>财政部关于印发《政府会计制度——行政事业单位会计科目和报表》的通知</w:t>
      </w:r>
      <w:bookmarkEnd w:id="12"/>
      <w:bookmarkEnd w:id="13"/>
      <w:bookmarkEnd w:id="14"/>
      <w:bookmarkEnd w:id="15"/>
      <w:bookmarkEnd w:id="16"/>
      <w:bookmarkEnd w:id="17"/>
      <w:bookmarkEnd w:id="18"/>
      <w:bookmarkEnd w:id="19"/>
    </w:p>
    <w:bookmarkEnd w:id="20"/>
    <w:bookmarkEnd w:id="21"/>
    <w:p w14:paraId="466B93A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（财会[2017]25号）</w:t>
      </w:r>
    </w:p>
    <w:p w14:paraId="12B80C89">
      <w:pPr>
        <w:bidi w:val="0"/>
        <w:spacing w:line="240" w:lineRule="auto"/>
        <w:rPr>
          <w:rFonts w:hint="eastAsia" w:ascii="仿宋" w:hAnsi="仿宋" w:eastAsia="仿宋" w:cs="仿宋"/>
          <w:b w:val="0"/>
          <w:bCs/>
          <w:color w:val="auto"/>
          <w:sz w:val="24"/>
          <w:szCs w:val="24"/>
          <w:u w:val="none" w:color="auto"/>
          <w:lang w:val="en-US" w:eastAsia="zh-CN"/>
        </w:rPr>
      </w:pPr>
    </w:p>
    <w:p w14:paraId="2629006B">
      <w:pPr>
        <w:bidi w:val="0"/>
        <w:spacing w:line="240" w:lineRule="auto"/>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党中央有关部门，国务院各部委、各直属机构，全国人大常委会办公厅，全国政协办公厅，高法院，高检院，各民主党派中央，有关人民团体，各省、自治区、直辖市、计划单列市财政厅（局），新疆生产建设兵团财务局：</w:t>
      </w:r>
    </w:p>
    <w:p w14:paraId="7BD0F241">
      <w:pPr>
        <w:bidi w:val="0"/>
        <w:spacing w:line="240" w:lineRule="auto"/>
        <w:ind w:firstLine="480" w:firstLineChars="200"/>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为了适应权责发生制政府综合财务报告制度改革需要，规范行政事业单位会计核算，提高会计信息质量，根据《中华人民共和国会计法》《中华人民共和国预算法》《政府会计准则——基本准则》等法律、行政法规和规章，我部制定了《政府会计制度——行政事业单位会计科目和报表》，现予印发，自2019年１月１日起施行。鼓励行政事业单位提前执行。</w:t>
      </w:r>
    </w:p>
    <w:p w14:paraId="08EFF707">
      <w:pPr>
        <w:bidi w:val="0"/>
        <w:spacing w:line="240" w:lineRule="auto"/>
        <w:ind w:firstLine="480" w:firstLineChars="200"/>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执行本制度的单位，不再执行《行政单位会计制度》《事业单位会计准则》《事业单位会计制度》《医院会计制度》《基层医疗卫生机构会计制度》《高等学校会计制度》《中小学校会计制度》《科学事业单位会计制度》《彩票机构会计制度》《地质勘查单位会计制度》《测绘事业单位会计制度》《国有林场与苗圃会计制度（暂行）》《国有建设单位会计制度》等制度。</w:t>
      </w:r>
    </w:p>
    <w:p w14:paraId="437DC409">
      <w:pPr>
        <w:bidi w:val="0"/>
        <w:spacing w:line="240" w:lineRule="auto"/>
        <w:ind w:firstLine="480" w:firstLineChars="200"/>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执行中有何问题，请及时反馈我部。</w:t>
      </w:r>
    </w:p>
    <w:p w14:paraId="02252005">
      <w:pPr>
        <w:bidi w:val="0"/>
        <w:spacing w:line="240" w:lineRule="auto"/>
        <w:rPr>
          <w:rFonts w:hint="default"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 xml:space="preserve">  </w:t>
      </w:r>
    </w:p>
    <w:p w14:paraId="0E736159">
      <w:pPr>
        <w:bidi w:val="0"/>
        <w:spacing w:line="240" w:lineRule="auto"/>
        <w:jc w:val="left"/>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 xml:space="preserve">附件：政府会计制度——行政事业单位会计科目和报表 </w:t>
      </w:r>
    </w:p>
    <w:p w14:paraId="2E9E65CE">
      <w:pPr>
        <w:bidi w:val="0"/>
        <w:spacing w:line="240" w:lineRule="auto"/>
        <w:jc w:val="left"/>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（注：附件请点击链接查看</w:t>
      </w:r>
      <w:r>
        <w:rPr>
          <w:rFonts w:hint="eastAsia" w:ascii="仿宋" w:hAnsi="仿宋" w:eastAsia="仿宋" w:cs="仿宋"/>
          <w:b w:val="0"/>
          <w:bCs/>
          <w:color w:val="auto"/>
          <w:sz w:val="24"/>
          <w:szCs w:val="24"/>
          <w:u w:val="none" w:color="auto"/>
          <w:lang w:val="en-US" w:eastAsia="zh-CN"/>
        </w:rPr>
        <w:fldChar w:fldCharType="begin"/>
      </w:r>
      <w:r>
        <w:rPr>
          <w:rFonts w:hint="eastAsia" w:ascii="仿宋" w:hAnsi="仿宋" w:eastAsia="仿宋" w:cs="仿宋"/>
          <w:b w:val="0"/>
          <w:bCs/>
          <w:color w:val="auto"/>
          <w:sz w:val="24"/>
          <w:szCs w:val="24"/>
          <w:u w:val="none" w:color="auto"/>
          <w:lang w:val="en-US" w:eastAsia="zh-CN"/>
        </w:rPr>
        <w:instrText xml:space="preserve"> HYPERLINK "政府会计制度——行政事业单位会计科目和报表（2019年1月1日施行）_夏去秋来的专栏-CSDN博客  https:/blog.csdn.net/y516940914/article/details/83280761" </w:instrText>
      </w:r>
      <w:r>
        <w:rPr>
          <w:rFonts w:hint="eastAsia" w:ascii="仿宋" w:hAnsi="仿宋" w:eastAsia="仿宋" w:cs="仿宋"/>
          <w:b w:val="0"/>
          <w:bCs/>
          <w:color w:val="auto"/>
          <w:sz w:val="24"/>
          <w:szCs w:val="24"/>
          <w:u w:val="none" w:color="auto"/>
          <w:lang w:val="en-US" w:eastAsia="zh-CN"/>
        </w:rPr>
        <w:fldChar w:fldCharType="separate"/>
      </w:r>
      <w:r>
        <w:rPr>
          <w:rStyle w:val="15"/>
          <w:rFonts w:hint="eastAsia" w:ascii="仿宋" w:hAnsi="仿宋" w:eastAsia="仿宋" w:cs="仿宋"/>
          <w:b w:val="0"/>
          <w:bCs/>
          <w:color w:val="auto"/>
          <w:sz w:val="24"/>
          <w:szCs w:val="24"/>
          <w:u w:val="none" w:color="auto"/>
          <w:lang w:val="en-US" w:eastAsia="zh-CN"/>
        </w:rPr>
        <w:t>https://blog.csdn.net/y516940914/article/details/83280761</w:t>
      </w:r>
      <w:r>
        <w:rPr>
          <w:rFonts w:hint="eastAsia" w:ascii="仿宋" w:hAnsi="仿宋" w:eastAsia="仿宋" w:cs="仿宋"/>
          <w:b w:val="0"/>
          <w:bCs/>
          <w:color w:val="auto"/>
          <w:sz w:val="24"/>
          <w:szCs w:val="24"/>
          <w:u w:val="none" w:color="auto"/>
          <w:lang w:val="en-US" w:eastAsia="zh-CN"/>
        </w:rPr>
        <w:fldChar w:fldCharType="end"/>
      </w:r>
      <w:r>
        <w:rPr>
          <w:rFonts w:hint="eastAsia" w:ascii="仿宋" w:hAnsi="仿宋" w:eastAsia="仿宋" w:cs="仿宋"/>
          <w:b w:val="0"/>
          <w:bCs/>
          <w:color w:val="auto"/>
          <w:sz w:val="24"/>
          <w:szCs w:val="24"/>
          <w:u w:val="none" w:color="auto"/>
          <w:lang w:val="en-US" w:eastAsia="zh-CN"/>
        </w:rPr>
        <w:t>）</w:t>
      </w:r>
    </w:p>
    <w:p w14:paraId="270C91CE">
      <w:pPr>
        <w:bidi w:val="0"/>
        <w:spacing w:line="240" w:lineRule="auto"/>
        <w:jc w:val="left"/>
        <w:rPr>
          <w:rFonts w:hint="eastAsia" w:ascii="仿宋" w:hAnsi="仿宋" w:eastAsia="仿宋" w:cs="仿宋"/>
          <w:b w:val="0"/>
          <w:bCs/>
          <w:color w:val="auto"/>
          <w:sz w:val="24"/>
          <w:szCs w:val="24"/>
          <w:u w:val="none" w:color="auto"/>
          <w:lang w:val="en-US" w:eastAsia="zh-CN"/>
        </w:rPr>
      </w:pPr>
    </w:p>
    <w:p w14:paraId="582E7C65">
      <w:pPr>
        <w:bidi w:val="0"/>
        <w:spacing w:line="240" w:lineRule="auto"/>
        <w:jc w:val="right"/>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财政部</w:t>
      </w:r>
    </w:p>
    <w:p w14:paraId="7D9E1128">
      <w:pPr>
        <w:bidi w:val="0"/>
        <w:spacing w:line="240" w:lineRule="auto"/>
        <w:jc w:val="right"/>
        <w:rPr>
          <w:rFonts w:hint="eastAsia" w:ascii="仿宋" w:hAnsi="仿宋" w:eastAsia="仿宋" w:cs="仿宋"/>
          <w:b w:val="0"/>
          <w:bCs/>
          <w:color w:val="auto"/>
          <w:sz w:val="24"/>
          <w:szCs w:val="24"/>
          <w:u w:val="none" w:color="auto"/>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 w:hAnsi="仿宋" w:eastAsia="仿宋" w:cs="仿宋"/>
          <w:b w:val="0"/>
          <w:bCs/>
          <w:color w:val="auto"/>
          <w:sz w:val="24"/>
          <w:szCs w:val="24"/>
          <w:u w:val="none" w:color="auto"/>
          <w:lang w:val="en-US" w:eastAsia="zh-CN"/>
        </w:rPr>
        <w:t>2017年10月24日</w:t>
      </w:r>
    </w:p>
    <w:p w14:paraId="7DDA11D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jc w:val="both"/>
        <w:textAlignment w:val="auto"/>
        <w:outlineLvl w:val="1"/>
        <w:rPr>
          <w:rStyle w:val="14"/>
          <w:rFonts w:hint="eastAsia" w:ascii="宋体" w:hAnsi="宋体" w:eastAsia="宋体" w:cs="宋体"/>
          <w:b/>
          <w:bCs w:val="0"/>
          <w:i w:val="0"/>
          <w:iCs w:val="0"/>
          <w:caps w:val="0"/>
          <w:color w:val="auto"/>
          <w:spacing w:val="0"/>
          <w:kern w:val="0"/>
          <w:sz w:val="36"/>
          <w:szCs w:val="36"/>
          <w:shd w:val="clear" w:color="auto" w:fill="FFFFFF"/>
          <w:lang w:val="en-US" w:eastAsia="zh-CN" w:bidi="ar"/>
        </w:rPr>
      </w:pPr>
      <w:bookmarkStart w:id="22" w:name="_Toc2041291551"/>
      <w:bookmarkStart w:id="23" w:name="_Toc2662"/>
      <w:bookmarkStart w:id="24" w:name="_Toc446027126"/>
      <w:bookmarkStart w:id="25" w:name="_Toc1015935333"/>
      <w:bookmarkStart w:id="26" w:name="_Toc10593"/>
      <w:bookmarkStart w:id="27" w:name="_Toc25696"/>
      <w:bookmarkStart w:id="28" w:name="_Toc499942295"/>
      <w:bookmarkStart w:id="29" w:name="_Toc7652"/>
      <w:bookmarkStart w:id="30" w:name="_Toc23116"/>
      <w:bookmarkStart w:id="31" w:name="_Toc13055"/>
      <w:r>
        <w:rPr>
          <w:rStyle w:val="14"/>
          <w:rFonts w:hint="eastAsia" w:ascii="宋体" w:hAnsi="宋体" w:eastAsia="宋体" w:cs="宋体"/>
          <w:b/>
          <w:bCs w:val="0"/>
          <w:i w:val="0"/>
          <w:iCs w:val="0"/>
          <w:caps w:val="0"/>
          <w:color w:val="auto"/>
          <w:spacing w:val="0"/>
          <w:kern w:val="0"/>
          <w:sz w:val="36"/>
          <w:szCs w:val="36"/>
          <w:shd w:val="clear" w:color="auto" w:fill="FFFFFF"/>
          <w:lang w:val="en-US" w:eastAsia="zh-CN" w:bidi="ar"/>
        </w:rPr>
        <w:t>财政部关于印发《民间非营利组织会计制度》的通知</w:t>
      </w:r>
      <w:bookmarkEnd w:id="22"/>
      <w:bookmarkEnd w:id="23"/>
      <w:bookmarkEnd w:id="24"/>
      <w:bookmarkEnd w:id="25"/>
      <w:bookmarkEnd w:id="26"/>
      <w:bookmarkEnd w:id="27"/>
      <w:bookmarkEnd w:id="28"/>
      <w:bookmarkEnd w:id="29"/>
      <w:bookmarkEnd w:id="30"/>
      <w:bookmarkEnd w:id="31"/>
    </w:p>
    <w:p w14:paraId="57ABD753">
      <w:pPr>
        <w:keepNext w:val="0"/>
        <w:keepLines w:val="0"/>
        <w:pageBreakBefore w:val="0"/>
        <w:widowControl w:val="0"/>
        <w:kinsoku/>
        <w:wordWrap/>
        <w:overflowPunct/>
        <w:topLinePunct w:val="0"/>
        <w:autoSpaceDE/>
        <w:autoSpaceDN/>
        <w:bidi w:val="0"/>
        <w:adjustRightInd/>
        <w:snapToGrid/>
        <w:spacing w:beforeAutospacing="0" w:afterAutospacing="0"/>
        <w:ind w:left="0" w:leftChars="0" w:firstLine="0" w:firstLineChars="0"/>
        <w:jc w:val="center"/>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（财会[2004]7号）</w:t>
      </w:r>
    </w:p>
    <w:p w14:paraId="43516ED9">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仿宋" w:hAnsi="仿宋" w:eastAsia="仿宋" w:cs="仿宋"/>
          <w:b w:val="0"/>
          <w:bCs/>
          <w:color w:val="auto"/>
          <w:sz w:val="24"/>
          <w:szCs w:val="24"/>
          <w:u w:val="none" w:color="auto"/>
          <w:lang w:val="en-US" w:eastAsia="zh-CN"/>
        </w:rPr>
      </w:pPr>
    </w:p>
    <w:p w14:paraId="4C6A80C0">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国务院有关部委、有关直属机构，各省、自治区、直辖市、计划单列市财政厅（局），新疆生产建设兵团财务局：</w:t>
      </w:r>
    </w:p>
    <w:p w14:paraId="3991B825">
      <w:pPr>
        <w:keepNext w:val="0"/>
        <w:keepLines w:val="0"/>
        <w:pageBreakBefore w:val="0"/>
        <w:widowControl w:val="0"/>
        <w:kinsoku/>
        <w:wordWrap/>
        <w:overflowPunct/>
        <w:topLinePunct w:val="0"/>
        <w:autoSpaceDE/>
        <w:autoSpaceDN/>
        <w:bidi w:val="0"/>
        <w:adjustRightInd/>
        <w:snapToGrid/>
        <w:ind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为了规范民间非营利组织的会计核算，提高会计信息质量，根据《中华人民共和国会计法》以及国家有关法律、行政法规，我部制定了《民间非营利组织会计制度》，现印发给你们，于2005年1月1日起执行。执行中有何问题，请及时反馈我部。</w:t>
      </w:r>
    </w:p>
    <w:p w14:paraId="6972FD18">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outlineLvl w:val="9"/>
        <w:rPr>
          <w:rFonts w:hint="eastAsia" w:ascii="仿宋" w:hAnsi="仿宋" w:eastAsia="仿宋" w:cs="仿宋"/>
          <w:b w:val="0"/>
          <w:bCs/>
          <w:color w:val="auto"/>
          <w:sz w:val="24"/>
          <w:szCs w:val="24"/>
          <w:u w:val="none" w:color="auto"/>
          <w:lang w:val="en-US" w:eastAsia="zh-CN"/>
        </w:rPr>
      </w:pPr>
    </w:p>
    <w:p w14:paraId="45208231">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 xml:space="preserve"> 2004年8月18日</w:t>
      </w:r>
    </w:p>
    <w:p w14:paraId="5BDEA45F">
      <w:pPr>
        <w:keepNext w:val="0"/>
        <w:keepLines w:val="0"/>
        <w:pageBreakBefore w:val="0"/>
        <w:widowControl w:val="0"/>
        <w:kinsoku/>
        <w:wordWrap/>
        <w:overflowPunct/>
        <w:topLinePunct w:val="0"/>
        <w:autoSpaceDE/>
        <w:autoSpaceDN/>
        <w:bidi w:val="0"/>
        <w:adjustRightInd/>
        <w:snapToGrid/>
        <w:ind w:left="0" w:leftChars="0" w:firstLine="0" w:firstLineChars="0"/>
        <w:jc w:val="right"/>
        <w:textAlignment w:val="auto"/>
        <w:outlineLvl w:val="9"/>
        <w:rPr>
          <w:rFonts w:hint="eastAsia" w:ascii="仿宋_GB2312" w:hAnsi="仿宋_GB2312" w:eastAsia="仿宋_GB2312" w:cs="仿宋_GB2312"/>
          <w:b w:val="0"/>
          <w:bCs/>
          <w:color w:val="auto"/>
          <w:sz w:val="24"/>
          <w:szCs w:val="24"/>
          <w:u w:val="none" w:color="auto"/>
          <w:lang w:val="en-US" w:eastAsia="zh-CN"/>
        </w:rPr>
      </w:pPr>
    </w:p>
    <w:p w14:paraId="0071A52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b w:val="0"/>
          <w:bCs/>
          <w:color w:val="auto"/>
          <w:sz w:val="24"/>
          <w:szCs w:val="24"/>
          <w:u w:val="none" w:color="auto"/>
          <w:lang w:val="en-US" w:eastAsia="zh-CN"/>
        </w:rPr>
      </w:pPr>
      <w:bookmarkStart w:id="32" w:name="_Toc360220179"/>
      <w:bookmarkStart w:id="33" w:name="_Toc337152436"/>
      <w:r>
        <w:rPr>
          <w:rFonts w:hint="eastAsia" w:ascii="黑体" w:hAnsi="黑体" w:eastAsia="黑体" w:cs="黑体"/>
          <w:b w:val="0"/>
          <w:bCs/>
          <w:color w:val="auto"/>
          <w:sz w:val="36"/>
          <w:szCs w:val="36"/>
          <w:u w:val="none" w:color="auto"/>
          <w:lang w:val="en-US" w:eastAsia="zh-CN"/>
        </w:rPr>
        <w:br w:type="page"/>
      </w:r>
      <w:r>
        <w:rPr>
          <w:rStyle w:val="14"/>
          <w:rFonts w:hint="eastAsia" w:ascii="宋体" w:hAnsi="宋体" w:eastAsia="宋体" w:cs="宋体"/>
          <w:bCs w:val="0"/>
          <w:i w:val="0"/>
          <w:iCs w:val="0"/>
          <w:caps w:val="0"/>
          <w:color w:val="auto"/>
          <w:spacing w:val="0"/>
          <w:kern w:val="0"/>
          <w:sz w:val="36"/>
          <w:szCs w:val="36"/>
          <w:shd w:val="clear" w:color="auto" w:fill="FFFFFF"/>
          <w:lang w:val="en-US" w:eastAsia="zh-CN" w:bidi="ar"/>
        </w:rPr>
        <w:t>民间非营利组织会计制度</w:t>
      </w:r>
      <w:bookmarkEnd w:id="32"/>
      <w:bookmarkEnd w:id="33"/>
    </w:p>
    <w:p w14:paraId="2229F02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黑体" w:hAnsi="黑体" w:eastAsia="黑体" w:cs="黑体"/>
          <w:b w:val="0"/>
          <w:bCs/>
          <w:color w:val="auto"/>
          <w:sz w:val="24"/>
          <w:szCs w:val="24"/>
          <w:u w:val="none" w:color="auto"/>
          <w:lang w:val="en-US" w:eastAsia="zh-CN"/>
        </w:rPr>
      </w:pPr>
      <w:bookmarkStart w:id="34" w:name="_Toc212243819"/>
      <w:bookmarkStart w:id="35" w:name="_Toc460807817"/>
      <w:r>
        <w:rPr>
          <w:rFonts w:hint="eastAsia" w:ascii="黑体" w:hAnsi="黑体" w:eastAsia="黑体" w:cs="黑体"/>
          <w:b/>
          <w:bCs w:val="0"/>
          <w:color w:val="auto"/>
          <w:sz w:val="24"/>
          <w:szCs w:val="24"/>
          <w:u w:val="none" w:color="auto"/>
          <w:lang w:val="en-US" w:eastAsia="zh-CN"/>
        </w:rPr>
        <w:t>第一章 总则</w:t>
      </w:r>
      <w:bookmarkEnd w:id="34"/>
      <w:bookmarkEnd w:id="35"/>
    </w:p>
    <w:p w14:paraId="585D6A9A">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第一条</w:t>
      </w:r>
      <w:r>
        <w:rPr>
          <w:rFonts w:hint="eastAsia" w:ascii="仿宋" w:hAnsi="仿宋" w:eastAsia="仿宋" w:cs="仿宋"/>
          <w:b w:val="0"/>
          <w:bCs/>
          <w:color w:val="auto"/>
          <w:sz w:val="24"/>
          <w:szCs w:val="24"/>
          <w:u w:val="none" w:color="auto"/>
          <w:lang w:val="en-US" w:eastAsia="zh-CN"/>
        </w:rPr>
        <w:t xml:space="preserve"> 为了规范民间非营利组织的会计核算，保证会计信息的真实、完整，根据《中华人民共和国会计法》及国家其他有关法律、行政法规的规定，制定本制度。</w:t>
      </w:r>
    </w:p>
    <w:p w14:paraId="5660B57C">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第二条</w:t>
      </w:r>
      <w:r>
        <w:rPr>
          <w:rFonts w:hint="eastAsia" w:ascii="仿宋" w:hAnsi="仿宋" w:eastAsia="仿宋" w:cs="仿宋"/>
          <w:b w:val="0"/>
          <w:bCs/>
          <w:color w:val="auto"/>
          <w:sz w:val="24"/>
          <w:szCs w:val="24"/>
          <w:u w:val="none" w:color="auto"/>
          <w:lang w:val="en-US" w:eastAsia="zh-CN"/>
        </w:rPr>
        <w:t xml:space="preserve"> 本制度适用于在中华人民共和国境内依法设立的符合本制度规定特征的民间非营利组织。民间非营利组织包括依照国家法律、行政法规登记的社会团体、基金会、民办非企业单位和寺院、宫观、清真寺、教堂等。</w:t>
      </w:r>
    </w:p>
    <w:p w14:paraId="0168EF72">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适用本制度的民间非营利组织应当同时具备以下特征：</w:t>
      </w:r>
    </w:p>
    <w:p w14:paraId="0CD7C663">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（一）该组织不以营利为宗旨和目的；</w:t>
      </w:r>
    </w:p>
    <w:p w14:paraId="734F16DA">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（二）资源提供者向该组织投入资源不取得经济回报；</w:t>
      </w:r>
    </w:p>
    <w:p w14:paraId="774B49DE">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（三）资源提供者不享有该组织的所有权。</w:t>
      </w:r>
    </w:p>
    <w:p w14:paraId="690A9465">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第三条</w:t>
      </w:r>
      <w:r>
        <w:rPr>
          <w:rFonts w:hint="eastAsia" w:ascii="仿宋" w:hAnsi="仿宋" w:eastAsia="仿宋" w:cs="仿宋"/>
          <w:b w:val="0"/>
          <w:bCs/>
          <w:color w:val="auto"/>
          <w:sz w:val="24"/>
          <w:szCs w:val="24"/>
          <w:u w:val="none" w:color="auto"/>
          <w:lang w:val="en-US" w:eastAsia="zh-CN"/>
        </w:rPr>
        <w:t xml:space="preserve"> 会计核算应当以民间非营利组织的交易或者事项为对象，记录和反映该组织本身的各项业务活动。</w:t>
      </w:r>
    </w:p>
    <w:p w14:paraId="0A9EF865">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第四条 </w:t>
      </w:r>
      <w:r>
        <w:rPr>
          <w:rFonts w:hint="eastAsia" w:ascii="仿宋" w:hAnsi="仿宋" w:eastAsia="仿宋" w:cs="仿宋"/>
          <w:b w:val="0"/>
          <w:bCs/>
          <w:color w:val="auto"/>
          <w:sz w:val="24"/>
          <w:szCs w:val="24"/>
          <w:u w:val="none" w:color="auto"/>
          <w:lang w:val="en-US" w:eastAsia="zh-CN"/>
        </w:rPr>
        <w:t>会计核算应当以民间非营利组织的持续经营为前提。</w:t>
      </w:r>
    </w:p>
    <w:p w14:paraId="6B06DD97">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第五条</w:t>
      </w:r>
      <w:r>
        <w:rPr>
          <w:rFonts w:hint="eastAsia" w:ascii="仿宋" w:hAnsi="仿宋" w:eastAsia="仿宋" w:cs="仿宋"/>
          <w:b w:val="0"/>
          <w:bCs/>
          <w:color w:val="auto"/>
          <w:sz w:val="24"/>
          <w:szCs w:val="24"/>
          <w:u w:val="none" w:color="auto"/>
          <w:lang w:val="en-US" w:eastAsia="zh-CN"/>
        </w:rPr>
        <w:t xml:space="preserve"> 会计核算应当划分会计期间，分期结算账目和编制财务会计报告。</w:t>
      </w:r>
    </w:p>
    <w:p w14:paraId="0F9E9988">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第六条</w:t>
      </w:r>
      <w:r>
        <w:rPr>
          <w:rFonts w:hint="eastAsia" w:ascii="仿宋" w:hAnsi="仿宋" w:eastAsia="仿宋" w:cs="仿宋"/>
          <w:b w:val="0"/>
          <w:bCs/>
          <w:color w:val="auto"/>
          <w:sz w:val="24"/>
          <w:szCs w:val="24"/>
          <w:u w:val="none" w:color="auto"/>
          <w:lang w:val="en-US" w:eastAsia="zh-CN"/>
        </w:rPr>
        <w:t xml:space="preserve"> 会计核算应当以人民币作为记账本位币。业务收支以人民币以外的货币为主的民间非营利组织，可以选定其中一种货币作为记账本位币，但是编制的财务会计报告应当折算为人民币。</w:t>
      </w:r>
    </w:p>
    <w:p w14:paraId="5DF231BE">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民间非营利组织在核算外币业务时，应当设置相应的外币账户。外币账户包括外币现金、外币银行存款、以外币结算的债权和债务账户等，这些账户应当与非外币的各该相同账户分别设置，并分别核算。</w:t>
      </w:r>
    </w:p>
    <w:p w14:paraId="7D525A33">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民间非营利组织发生外币业务时，应当将有关外币金额折算为记账本位币金额记账。除另有规定外，所有与外币业务有关的账户，应当采用业务发生时的汇率。当汇率波动较小时，也可以采用业务发生当期期初的汇率进行折算。</w:t>
      </w:r>
    </w:p>
    <w:p w14:paraId="528F1482">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各种外币账户的外币余额，期末时应当按照期末汇率折合为记账本位币。按照期末汇率折合的记账本位币金额与账面记账本位币金额之间的差额，作为汇兑损益计入当期费用。但是，属于在借款费用应予资本化的期间内发生的与购建固定资产有关的外币专门借款本金及其利息所产生的汇兑差额，应当予以资本化，计入固定资产成本。借款费用应予资本化的期间依照本制度第三十五条加以确定。</w:t>
      </w:r>
    </w:p>
    <w:p w14:paraId="1DCB0919">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本制度所称外币业务是指以记账本位币以外的货币进行的款项收付、往来结算等业务。</w:t>
      </w:r>
    </w:p>
    <w:p w14:paraId="00276A77">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本制度所称的专门借款是指为购建固定资产而专门借入的款项。</w:t>
      </w:r>
    </w:p>
    <w:p w14:paraId="3DD7A927">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第七条</w:t>
      </w:r>
      <w:r>
        <w:rPr>
          <w:rFonts w:hint="eastAsia" w:ascii="仿宋" w:hAnsi="仿宋" w:eastAsia="仿宋" w:cs="仿宋"/>
          <w:b w:val="0"/>
          <w:bCs/>
          <w:color w:val="auto"/>
          <w:sz w:val="24"/>
          <w:szCs w:val="24"/>
          <w:u w:val="none" w:color="auto"/>
          <w:lang w:val="en-US" w:eastAsia="zh-CN"/>
        </w:rPr>
        <w:t xml:space="preserve"> 会计核算应当以权责发生制为基础。</w:t>
      </w:r>
    </w:p>
    <w:p w14:paraId="24B70D31">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第八条</w:t>
      </w:r>
      <w:r>
        <w:rPr>
          <w:rFonts w:hint="eastAsia" w:ascii="仿宋" w:hAnsi="仿宋" w:eastAsia="仿宋" w:cs="仿宋"/>
          <w:b w:val="0"/>
          <w:bCs/>
          <w:color w:val="auto"/>
          <w:sz w:val="24"/>
          <w:szCs w:val="24"/>
          <w:u w:val="none" w:color="auto"/>
          <w:lang w:val="en-US" w:eastAsia="zh-CN"/>
        </w:rPr>
        <w:t xml:space="preserve"> 民间非营利组织在会计核算时，应当遵循以下基本原则：</w:t>
      </w:r>
    </w:p>
    <w:p w14:paraId="03CD2524">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（一）会计核算应当以实际发生的交易或者事项为依据，如实反映民间非营利组织的财务状况、业务活动情况和现金流量等信息。</w:t>
      </w:r>
    </w:p>
    <w:p w14:paraId="1F023DD4">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（二）会计核算所提供的信息应当能够满足会计信息使用者（如捐赠人、会员、监管者等）的需要。</w:t>
      </w:r>
    </w:p>
    <w:p w14:paraId="0AA9BB4E">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（三）会计核算应当按照交易或者事项的实质进行，而不应当仅仅按照它们的法律形式作为其依据。</w:t>
      </w:r>
    </w:p>
    <w:p w14:paraId="4C6F2DDF">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（四）会计政策前后各期应当保持一致，不得随意变更。如有必要变更，应当在会计报表附注中披露变更的内容和理由、变更的累积影响数，以及累积影响数不能合理确定的理由等。</w:t>
      </w:r>
    </w:p>
    <w:p w14:paraId="67FD3585">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（五）会计核算应当按照规定的会计处理方法进行，会计信息应当口径一致、相互可比。</w:t>
      </w:r>
    </w:p>
    <w:p w14:paraId="7553C9FA">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（六）会计核算应当及时进行，不得提前或延后。</w:t>
      </w:r>
    </w:p>
    <w:p w14:paraId="40D6FD73">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（七）会计核算和编制的财务会计报告应当清晰明了，便于理解和使用。</w:t>
      </w:r>
    </w:p>
    <w:p w14:paraId="2D3E60A0">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（八）在会计核算中，所发生的费用应当与其相关的收入相配比，同一会计期间内的各项收入和与其相关的费用，应当在该会计期间内确认。</w:t>
      </w:r>
    </w:p>
    <w:p w14:paraId="003F3111">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九）资产在取得时应当按照实际成本计量，但本制度有特别规定的，按照特别规定的计量基础进行计量。其后，资产账面价值的调整，应当按照本制度的规定执行；除法律、行政法规和国家统一的会计制度另有规定外，民间非营利组织一律不得自行调整资产账面价值。</w:t>
      </w:r>
    </w:p>
    <w:p w14:paraId="684F6B2E">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（十）会计核算应当遵循谨慎性原则。</w:t>
      </w:r>
    </w:p>
    <w:p w14:paraId="334E6B16">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（十一）会计核算应当合理划分应当计入当期费用的支出和应当予以资本化的支出。</w:t>
      </w:r>
    </w:p>
    <w:p w14:paraId="3915D66D">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十二）会计核算应当遵循重要性原则，对资产、负债、净资产、收入、费用等有较大影响，并进而影响财务会计报告使用者据以做出合理判断的重要会计事项，必须按照规定的会计方法和程序进行处理，并在财务会计报告中予以充分披露；对于非重要的会计事项，在不影响会计信息真实性和不致于误导会计信息使用者做出正确判断的前提下，可适当简化处理。</w:t>
      </w:r>
    </w:p>
    <w:p w14:paraId="2C514AA2">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第九条</w:t>
      </w:r>
      <w:r>
        <w:rPr>
          <w:rFonts w:hint="eastAsia" w:ascii="仿宋" w:hAnsi="仿宋" w:eastAsia="仿宋" w:cs="仿宋"/>
          <w:b w:val="0"/>
          <w:bCs/>
          <w:color w:val="auto"/>
          <w:sz w:val="24"/>
          <w:szCs w:val="24"/>
          <w:u w:val="none" w:color="auto"/>
          <w:lang w:val="en-US" w:eastAsia="zh-CN"/>
        </w:rPr>
        <w:t xml:space="preserve"> 会计记账应当采用借贷记账法。</w:t>
      </w:r>
    </w:p>
    <w:p w14:paraId="02A1BBBF">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第十条</w:t>
      </w:r>
      <w:r>
        <w:rPr>
          <w:rFonts w:hint="eastAsia" w:ascii="仿宋" w:hAnsi="仿宋" w:eastAsia="仿宋" w:cs="仿宋"/>
          <w:b w:val="0"/>
          <w:bCs/>
          <w:color w:val="auto"/>
          <w:sz w:val="24"/>
          <w:szCs w:val="24"/>
          <w:u w:val="none" w:color="auto"/>
          <w:lang w:val="en-US" w:eastAsia="zh-CN"/>
        </w:rPr>
        <w:t xml:space="preserve"> 会计记录的文字应当使用中文。在民族自治地区，会计记录可以同时使用当地通用的一种民族文字。境外民间非营利组织在中华人民共和国境内设立的代表处、办事处等机构，也可以同时使用一种外国文字记账。</w:t>
      </w:r>
    </w:p>
    <w:p w14:paraId="729B67F5">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第十一条</w:t>
      </w:r>
      <w:r>
        <w:rPr>
          <w:rFonts w:hint="eastAsia" w:ascii="仿宋" w:hAnsi="仿宋" w:eastAsia="仿宋" w:cs="仿宋"/>
          <w:b w:val="0"/>
          <w:bCs/>
          <w:color w:val="auto"/>
          <w:sz w:val="24"/>
          <w:szCs w:val="24"/>
          <w:u w:val="none" w:color="auto"/>
          <w:lang w:val="en-US" w:eastAsia="zh-CN"/>
        </w:rPr>
        <w:t xml:space="preserve"> 民间非营利组织应当根据有关会计法律、行政法规和本制度的规定，在不违反本制度的前提下，结合其具体情况，制定会计核算办法。</w:t>
      </w:r>
    </w:p>
    <w:p w14:paraId="1483BB0F">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第十二条</w:t>
      </w:r>
      <w:r>
        <w:rPr>
          <w:rFonts w:hint="eastAsia" w:ascii="仿宋" w:hAnsi="仿宋" w:eastAsia="仿宋" w:cs="仿宋"/>
          <w:b w:val="0"/>
          <w:bCs/>
          <w:color w:val="auto"/>
          <w:sz w:val="24"/>
          <w:szCs w:val="24"/>
          <w:u w:val="none" w:color="auto"/>
          <w:lang w:val="en-US" w:eastAsia="zh-CN"/>
        </w:rPr>
        <w:t xml:space="preserve"> 民间非营利组织填制会计凭证、登记会计账簿、管理会计档案等，按照《中华人民共和国会计法》、《会计基础工作规范》和《会计档案管理办法》等规定执行。</w:t>
      </w:r>
    </w:p>
    <w:p w14:paraId="0E9A1980">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第十三条</w:t>
      </w:r>
      <w:r>
        <w:rPr>
          <w:rFonts w:hint="eastAsia" w:ascii="仿宋" w:hAnsi="仿宋" w:eastAsia="仿宋" w:cs="仿宋"/>
          <w:b w:val="0"/>
          <w:bCs/>
          <w:color w:val="auto"/>
          <w:sz w:val="24"/>
          <w:szCs w:val="24"/>
          <w:u w:val="none" w:color="auto"/>
          <w:lang w:val="en-US" w:eastAsia="zh-CN"/>
        </w:rPr>
        <w:t xml:space="preserve"> 民间非营利组织应当根据国家有关法律、行政法规和内部会计控制规范，结合本单位的业务活动特点，制定相适应的内部会计控制制度，以加强内部会计监督，提高会计信息质量和管理水平。</w:t>
      </w:r>
    </w:p>
    <w:p w14:paraId="37D0599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b w:val="0"/>
          <w:bCs/>
          <w:color w:val="auto"/>
          <w:sz w:val="24"/>
          <w:szCs w:val="24"/>
          <w:u w:val="none" w:color="auto"/>
          <w:lang w:val="en-US" w:eastAsia="zh-CN"/>
        </w:rPr>
      </w:pPr>
      <w:bookmarkStart w:id="36" w:name="_Toc420555846"/>
      <w:bookmarkStart w:id="37" w:name="_Toc552614787"/>
      <w:r>
        <w:rPr>
          <w:rFonts w:hint="eastAsia" w:ascii="黑体" w:hAnsi="黑体" w:eastAsia="黑体" w:cs="黑体"/>
          <w:b/>
          <w:bCs w:val="0"/>
          <w:color w:val="auto"/>
          <w:sz w:val="24"/>
          <w:szCs w:val="24"/>
          <w:u w:val="none" w:color="auto"/>
          <w:lang w:val="en-US" w:eastAsia="zh-CN"/>
        </w:rPr>
        <w:t>第二章 资产</w:t>
      </w:r>
      <w:bookmarkEnd w:id="36"/>
      <w:bookmarkEnd w:id="37"/>
    </w:p>
    <w:p w14:paraId="7CBA0761">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第十四条</w:t>
      </w:r>
      <w:r>
        <w:rPr>
          <w:rFonts w:hint="eastAsia" w:ascii="仿宋" w:hAnsi="仿宋" w:eastAsia="仿宋" w:cs="仿宋"/>
          <w:b w:val="0"/>
          <w:bCs/>
          <w:color w:val="auto"/>
          <w:sz w:val="24"/>
          <w:szCs w:val="24"/>
          <w:u w:val="none" w:color="auto"/>
          <w:lang w:val="en-US" w:eastAsia="zh-CN"/>
        </w:rPr>
        <w:t xml:space="preserve"> 资产是指过去的交易或者事项形成并由民间非营利组织拥有或者控制的资源，该资源预期会给民间非营利组织带来经济利益或者服务潜力。资产应当按其流动性分为流动资产、长期投资、固定资产、无形资产和受托代理资产等。</w:t>
      </w:r>
    </w:p>
    <w:p w14:paraId="7C6B0F77">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第十五条</w:t>
      </w:r>
      <w:r>
        <w:rPr>
          <w:rFonts w:hint="eastAsia" w:ascii="仿宋" w:hAnsi="仿宋" w:eastAsia="仿宋" w:cs="仿宋"/>
          <w:b w:val="0"/>
          <w:bCs/>
          <w:color w:val="auto"/>
          <w:sz w:val="24"/>
          <w:szCs w:val="24"/>
          <w:u w:val="none" w:color="auto"/>
          <w:lang w:val="en-US" w:eastAsia="zh-CN"/>
        </w:rPr>
        <w:t xml:space="preserve"> 民间非营利组织应当定期或者至少于每年年度终了，对短期投资、应收款项、存货、长期投资等资产是否发生了减值进行检查，如果这些资产发生了减值，应当计提减值准备，确认减值损失，并计入当期费用。对于固定资产、无形资产等其他资产，如果发生了重大减值，也应当计提减值准备，确认减值损失，并计入当期费用。如果已计提减值准备的资产价值在以后会计期间得以恢复，则应当在该资产已计提减值准备的范围内部分或全部转回已确认的减值损失，冲减当期费用。</w:t>
      </w:r>
    </w:p>
    <w:p w14:paraId="5E14C9DA">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第十六条</w:t>
      </w:r>
      <w:r>
        <w:rPr>
          <w:rFonts w:hint="eastAsia" w:ascii="仿宋" w:hAnsi="仿宋" w:eastAsia="仿宋" w:cs="仿宋"/>
          <w:b w:val="0"/>
          <w:bCs/>
          <w:color w:val="auto"/>
          <w:sz w:val="24"/>
          <w:szCs w:val="24"/>
          <w:u w:val="none" w:color="auto"/>
          <w:lang w:val="en-US" w:eastAsia="zh-CN"/>
        </w:rPr>
        <w:t xml:space="preserve"> 对于民间非营利组织接受捐赠的现金资产，应当按照实际收到的金额入账。对于民间非营利组织接受捐赠的非现金资产，如接受捐赠的短期投资、存货、长期投资、固定资产和无形资产等，应当按照以下方法确定其入账价值：</w:t>
      </w:r>
    </w:p>
    <w:p w14:paraId="49FDFA45">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如果捐赠方提供了有关凭据（如发票、报关单、有关协议等）的，应当按照凭据上标明的金额作为入账价值。如果凭据上标明的金额与受赠资产公允价值相差较大，受赠资产应当以其公允价值作为其入账价值。</w:t>
      </w:r>
    </w:p>
    <w:p w14:paraId="6CDBCAB5">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（二）如果捐赠方没有提供有关凭据的，受赠资产应当以其公允价值作为入账价值。</w:t>
      </w:r>
    </w:p>
    <w:p w14:paraId="73C0DDD2">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对于民间非营利组织接受的劳务捐赠，不予确认，但应当在会计报表附注中作相关披露。</w:t>
      </w:r>
    </w:p>
    <w:p w14:paraId="6161113D">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第十七条</w:t>
      </w:r>
      <w:r>
        <w:rPr>
          <w:rFonts w:hint="eastAsia" w:ascii="仿宋" w:hAnsi="仿宋" w:eastAsia="仿宋" w:cs="仿宋"/>
          <w:b w:val="0"/>
          <w:bCs/>
          <w:color w:val="auto"/>
          <w:sz w:val="24"/>
          <w:szCs w:val="24"/>
          <w:u w:val="none" w:color="auto"/>
          <w:lang w:val="en-US" w:eastAsia="zh-CN"/>
        </w:rPr>
        <w:t xml:space="preserve"> 本制度中所称的公允价值是指在公平交易中，熟悉情况的交易双方自愿进行资产交换或者债务清偿的金额。公允价值的确定顺序如下：</w:t>
      </w:r>
    </w:p>
    <w:p w14:paraId="6C3C80A4">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（一）如果同类或者类似资产存在活跃市场的，应当按照同类或者类似资产的市场价格确定公允价值。</w:t>
      </w:r>
    </w:p>
    <w:p w14:paraId="7F215EDA">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（二）如果同类或类似资产不存在活跃市场，或者无法找到同类或者类似资产的，应当采用合理的计价方法确定资产的公允价值。</w:t>
      </w:r>
    </w:p>
    <w:p w14:paraId="245563B9">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在本制度规定应当采用公允价值的情况下，如果有确凿的证据表明资产的公允价值确实无法可靠计量，则民间非营利组织应当设置辅助账，单独登记所取得资产的名称、数量、来源、用途等情况，并在会计报表附注中作相关披露。在以后会计期间，如果该资产的公允价值能够可靠计量，民间非营利组织应当在其能够可靠计量的会计期间予以确认，并以公允价值计量。</w:t>
      </w:r>
    </w:p>
    <w:p w14:paraId="3C48F52B">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第十八条</w:t>
      </w:r>
      <w:r>
        <w:rPr>
          <w:rFonts w:hint="eastAsia" w:ascii="仿宋" w:hAnsi="仿宋" w:eastAsia="仿宋" w:cs="仿宋"/>
          <w:b w:val="0"/>
          <w:bCs/>
          <w:color w:val="auto"/>
          <w:sz w:val="24"/>
          <w:szCs w:val="24"/>
          <w:u w:val="none" w:color="auto"/>
          <w:lang w:val="en-US" w:eastAsia="zh-CN"/>
        </w:rPr>
        <w:t xml:space="preserve"> 民间非营利组织如发生非货币性交易，应当按照以下原则处理：</w:t>
      </w:r>
    </w:p>
    <w:p w14:paraId="78E3A824">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（一）以换出资产的账面价值，加上应支付的相关税费，作为换入资产的入账价值。</w:t>
      </w:r>
    </w:p>
    <w:p w14:paraId="31960738">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（二）非货币性交易中如果发生补价，应区别不同情况处理：</w:t>
      </w:r>
    </w:p>
    <w:p w14:paraId="149C60EA">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1.支付补价的民间非营利组织，应以换出资产的账面价值加上补价和应支付的相关税费，作为换入资产的入账价值。</w:t>
      </w:r>
    </w:p>
    <w:p w14:paraId="4AC52BFF">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2.收到补价的民间非营利组织，应按以下公式确定换入资产的入账价值和应确认的收入或费用：</w:t>
      </w:r>
    </w:p>
    <w:p w14:paraId="6231CBF4">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换入资产入账价值＝换出资产账面价值－（补价÷换出资产公允价值）×换出资产账面价值－（补价÷换出资产公允价值）×应交税金＋应支付的相关税费</w:t>
      </w:r>
    </w:p>
    <w:p w14:paraId="70AA1443">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应确认的收入或费用＝补价×[1－（换出资产账面价值＋应交税金）÷换出资产公允价值]</w:t>
      </w:r>
    </w:p>
    <w:p w14:paraId="13C7D97A">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（三）在非货币性交易中，如果同时换入多项资产，应按换入各项资产的公允价值占换入资产公允价值总额的比例，对换出资产的账面价值总额和应支付的相关税费进行分配，以确定各项换入资产的入账价值。</w:t>
      </w:r>
    </w:p>
    <w:p w14:paraId="0B968406">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本制度所称非货币性交易是指交易双方以非货币性资产进行的交换，这种交换不涉及或只涉及少量的货币性资产（即补价）。其中，货币性资产是指持有的现金及将以固定或可确定金额的货币收取的资产；非货币性资产是指货币性资产以外的资产。</w:t>
      </w:r>
    </w:p>
    <w:p w14:paraId="26B1896A">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第一节 流动资产</w:t>
      </w:r>
    </w:p>
    <w:p w14:paraId="4B050D03">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第十九条</w:t>
      </w:r>
      <w:r>
        <w:rPr>
          <w:rFonts w:hint="eastAsia" w:ascii="仿宋" w:hAnsi="仿宋" w:eastAsia="仿宋" w:cs="仿宋"/>
          <w:b w:val="0"/>
          <w:bCs/>
          <w:color w:val="auto"/>
          <w:sz w:val="24"/>
          <w:szCs w:val="24"/>
          <w:u w:val="none" w:color="auto"/>
          <w:lang w:val="en-US" w:eastAsia="zh-CN"/>
        </w:rPr>
        <w:t xml:space="preserve"> 流动资产是指预期可在1年内（含1年）变现或者耗用的资产，主要包括现金、银行存款、短期投资、应收款项、预付账款、存货、待摊费用等。</w:t>
      </w:r>
    </w:p>
    <w:p w14:paraId="27F94CD4">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第二十条</w:t>
      </w:r>
      <w:r>
        <w:rPr>
          <w:rFonts w:hint="eastAsia" w:ascii="仿宋" w:hAnsi="仿宋" w:eastAsia="仿宋" w:cs="仿宋"/>
          <w:b w:val="0"/>
          <w:bCs/>
          <w:color w:val="auto"/>
          <w:sz w:val="24"/>
          <w:szCs w:val="24"/>
          <w:u w:val="none" w:color="auto"/>
          <w:lang w:val="en-US" w:eastAsia="zh-CN"/>
        </w:rPr>
        <w:t xml:space="preserve"> 民间非营利组织应当设置现金和银行存款日记账，按照业务发生顺序逐日逐笔登记。有外币现金和存款的民间非营利组织，还应当分别按人民币和外币进行明细核算。</w:t>
      </w:r>
    </w:p>
    <w:p w14:paraId="081ABADA">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现金的核算应当做到日清月结，其账面余额必须与库存数相符；银行存款的账面余额应当与银行对账单定期核对，并与按月编制的银行存款余额调节表调节相符。</w:t>
      </w:r>
    </w:p>
    <w:p w14:paraId="25A7F286">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本制度所称的账面余额是指会计科目的账面实际余额，不扣除作为该科目备抵的项目（如累计折旧、资产减值准备等）。</w:t>
      </w:r>
    </w:p>
    <w:p w14:paraId="1E1BC7C6">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第二十一条 </w:t>
      </w:r>
      <w:r>
        <w:rPr>
          <w:rFonts w:hint="eastAsia" w:ascii="仿宋" w:hAnsi="仿宋" w:eastAsia="仿宋" w:cs="仿宋"/>
          <w:b w:val="0"/>
          <w:bCs/>
          <w:color w:val="auto"/>
          <w:sz w:val="24"/>
          <w:szCs w:val="24"/>
          <w:u w:val="none" w:color="auto"/>
          <w:lang w:val="en-US" w:eastAsia="zh-CN"/>
        </w:rPr>
        <w:t>短期投资是指能够随时变现并且持有时间不准备超过1年（含1年）的投资，包括股票、债券投资等。</w:t>
      </w:r>
    </w:p>
    <w:p w14:paraId="5961E65D">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（一）短期投资在取得时应当按照投资成本计量。短期投资取得时的投资成本按以下方法确定：</w:t>
      </w:r>
    </w:p>
    <w:p w14:paraId="2AF28237">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1.以现金购入的短期投资，按照实际支付的全部价款，包括税金、手续费等相关税费作为其投资成本。实际支付的价款中包含的已宣告但尚未领取的现金股利或已到付息期但尚未领取的债券利息，应当作为应收款项单独核算，不构成短期投资成本。</w:t>
      </w:r>
    </w:p>
    <w:p w14:paraId="2B0E9405">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2.接受捐赠的短期投资，按照本制度第十六条的规定确定其投资成本。</w:t>
      </w:r>
    </w:p>
    <w:p w14:paraId="0C284669">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3.通过非货币性交易换入的短期投资，按照本制度第十八条的规定确定其投资成本。</w:t>
      </w:r>
    </w:p>
    <w:p w14:paraId="7F2BE7DC">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（二）短期投资的利息或现金股利应当于实际收到时冲减投资的账面价值，但在购买时已计入应收款项的现金股利或者利息除外。</w:t>
      </w:r>
    </w:p>
    <w:p w14:paraId="2DD4AE2B">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期末，民间非营利组织应当按照本制度第十五条的规定对短期投资是否发生了减值进行检查。如果短期投资的市价低于其账面价值，应当按照市价低于账面价值的差额计提短期投资跌价准备，确认短期投资跌价损失并计入当期费用。如果短期投资的市价高于其账面价值，应当在该短期投资期初已计提跌价准备的范围内转回市价高于账面价值的差额，冲减当期费用。</w:t>
      </w:r>
    </w:p>
    <w:p w14:paraId="2DC63AD1">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（四）处置短期投资时，应当将实际取得价款与短期投资账面价值的差额确认为当期投资损益。</w:t>
      </w:r>
    </w:p>
    <w:p w14:paraId="440756D2">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本制度所称的账面价值是指某会计科目的账面余额减去相关的备抵项目后的净额。</w:t>
      </w:r>
    </w:p>
    <w:p w14:paraId="30B06BF0">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民间非营利组织的委托贷款和委托投资（包括委托理财）应当区分期限长短，分别作为短期投资和长期投资核算和列报。</w:t>
      </w:r>
    </w:p>
    <w:p w14:paraId="4A03503D">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第二十二条</w:t>
      </w:r>
      <w:r>
        <w:rPr>
          <w:rFonts w:hint="eastAsia" w:ascii="仿宋" w:hAnsi="仿宋" w:eastAsia="仿宋" w:cs="仿宋"/>
          <w:b w:val="0"/>
          <w:bCs/>
          <w:color w:val="auto"/>
          <w:sz w:val="24"/>
          <w:szCs w:val="24"/>
          <w:u w:val="none" w:color="auto"/>
          <w:lang w:val="en-US" w:eastAsia="zh-CN"/>
        </w:rPr>
        <w:t xml:space="preserve"> 应收款项是指民间非营利组织在日常业务活动过程中发生的各项应收未收债权，包括应收票据、应收账款和其他应收款等。</w:t>
      </w:r>
    </w:p>
    <w:p w14:paraId="0DC94D98">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（一）应收款项应当按照实际发生额入账，并按照往来单位或个人等设置明细账，进行明细核算。</w:t>
      </w:r>
    </w:p>
    <w:p w14:paraId="3930D228">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（二）期末，应当分析应收款项的可收回性，对预计可能产生的坏账损失计提坏账准备，确认坏账损失并计入当期费用。</w:t>
      </w:r>
    </w:p>
    <w:p w14:paraId="340E1A3F">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第二十三条</w:t>
      </w:r>
      <w:r>
        <w:rPr>
          <w:rFonts w:hint="eastAsia" w:ascii="仿宋" w:hAnsi="仿宋" w:eastAsia="仿宋" w:cs="仿宋"/>
          <w:b w:val="0"/>
          <w:bCs/>
          <w:color w:val="auto"/>
          <w:sz w:val="24"/>
          <w:szCs w:val="24"/>
          <w:u w:val="none" w:color="auto"/>
          <w:lang w:val="en-US" w:eastAsia="zh-CN"/>
        </w:rPr>
        <w:t xml:space="preserve"> 预付账款是指民间非营利组织预付给商品供应单位或者服务提供单位的款项。</w:t>
      </w:r>
    </w:p>
    <w:p w14:paraId="6E85DC3E">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预付账款应当按照实际发生额入账，并按照往来单位或个人等设置明细账，进行明细核算。</w:t>
      </w:r>
    </w:p>
    <w:p w14:paraId="1F61AEBD">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第二十四条</w:t>
      </w:r>
      <w:r>
        <w:rPr>
          <w:rFonts w:hint="eastAsia" w:ascii="仿宋" w:hAnsi="仿宋" w:eastAsia="仿宋" w:cs="仿宋"/>
          <w:b w:val="0"/>
          <w:bCs/>
          <w:color w:val="auto"/>
          <w:sz w:val="24"/>
          <w:szCs w:val="24"/>
          <w:u w:val="none" w:color="auto"/>
          <w:lang w:val="en-US" w:eastAsia="zh-CN"/>
        </w:rPr>
        <w:t xml:space="preserve"> 存货是指民间非营利组织在日常业务活动中持有以备出售或捐赠的，或者为了出售或捐赠仍处在生产过程中的，或者将在生产、提供服务或日常管理过程中耗用的材料、物资、商品等。</w:t>
      </w:r>
    </w:p>
    <w:p w14:paraId="2CC8C2CB">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存货在取得时，应当以其实际成本入账。存货成本包括采购成本、加工成本和其他成本。其中，采购成本一般包括实际支付的采购价款、相关税费、运输费、装卸费、保险费以及其他可直接归属于存货采购的费用。加工成本包括直接人工以及按照合理方法分配的与存货加工有关的间接费用。其他成本是指除采购成本、加工成本以外的，使存货达到目前场所和状态所发生的其他支出。接受捐赠的存货，按照本制度第十六条的规定确定其成本。通过非货币性交易换入的存货，按照本制度第十八条的规定确定其成本。</w:t>
      </w:r>
    </w:p>
    <w:p w14:paraId="6E662A67">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（二）存货在发出时，应当根据实际情况采用个别计价法、先进先出法或者加权平均法，确定发出存货的实际成本。</w:t>
      </w:r>
    </w:p>
    <w:p w14:paraId="0F5A70E0">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存货应当定期进行清查盘点，每年至少盘点一次。对于发生的盘盈、盘亏以及变质、毁损等存货，应当及时查明原因，并根据民间非营利组织的管理权限，经理事会、董事会或类似权力机构批准后，在期末结账前处理完毕。对于盘盈的存货，应当按照其公允价值入账，并确认为当期收入；对于盘亏或者毁损的存货，应先扣除残料价值、可以收回的保险赔偿和过失人的赔偿等，将净损失确认为当期费用。</w:t>
      </w:r>
    </w:p>
    <w:p w14:paraId="7CD3C810">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四）期末，民间非营利组织应当按照本制度第十五条的规定对存货是否发生了减值进行检查。如果存货的可变现净值低于其账面价值，应当按照可变现净值低于账面价值的差额计提存货跌价准备，确认存货跌价损失并计入当期费用。如果存货的可变现净值高于其账面价值，应当在该存货期初已计提跌价准备的范围内转回可变现净值高于账面价值的差额，冲减当期费用。</w:t>
      </w:r>
    </w:p>
    <w:p w14:paraId="36A545AE">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本制度所称的可变现净值是指在正常业务活动中，以存货的估计售价减去至完工将要发生的成本以及销售所必需的费用后的金额。</w:t>
      </w:r>
    </w:p>
    <w:p w14:paraId="277892D9">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第二十五条</w:t>
      </w:r>
      <w:r>
        <w:rPr>
          <w:rFonts w:hint="eastAsia" w:ascii="仿宋" w:hAnsi="仿宋" w:eastAsia="仿宋" w:cs="仿宋"/>
          <w:b w:val="0"/>
          <w:bCs/>
          <w:color w:val="auto"/>
          <w:sz w:val="24"/>
          <w:szCs w:val="24"/>
          <w:u w:val="none" w:color="auto"/>
          <w:lang w:val="en-US" w:eastAsia="zh-CN"/>
        </w:rPr>
        <w:t xml:space="preserve"> 待摊费用是指民间非营利组织已经支出，但应当由本期和以后各期分别负担的、分摊期在1年以内（含1年）的各项费用，如预付保险费、预付租金等。</w:t>
      </w:r>
    </w:p>
    <w:p w14:paraId="7FA34196">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待摊费用应当按其受益期限在1年内分期平均摊销，计入有关费用。</w:t>
      </w:r>
    </w:p>
    <w:p w14:paraId="48A865E2">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第二节 长期投资</w:t>
      </w:r>
    </w:p>
    <w:p w14:paraId="5727BD79">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第二十六条</w:t>
      </w:r>
      <w:r>
        <w:rPr>
          <w:rFonts w:hint="eastAsia" w:ascii="仿宋" w:hAnsi="仿宋" w:eastAsia="仿宋" w:cs="仿宋"/>
          <w:b w:val="0"/>
          <w:bCs/>
          <w:color w:val="auto"/>
          <w:sz w:val="24"/>
          <w:szCs w:val="24"/>
          <w:u w:val="none" w:color="auto"/>
          <w:lang w:val="en-US" w:eastAsia="zh-CN"/>
        </w:rPr>
        <w:t xml:space="preserve"> 长期投资，是指除短期投资以外的投资，包括长期股权投资和长期债权投资等。</w:t>
      </w:r>
    </w:p>
    <w:p w14:paraId="093A8F0D">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第二十七条</w:t>
      </w:r>
      <w:r>
        <w:rPr>
          <w:rFonts w:hint="eastAsia" w:ascii="仿宋" w:hAnsi="仿宋" w:eastAsia="仿宋" w:cs="仿宋"/>
          <w:b w:val="0"/>
          <w:bCs/>
          <w:color w:val="auto"/>
          <w:sz w:val="24"/>
          <w:szCs w:val="24"/>
          <w:u w:val="none" w:color="auto"/>
          <w:lang w:val="en-US" w:eastAsia="zh-CN"/>
        </w:rPr>
        <w:t xml:space="preserve"> 长期股权投资应当按照以下原则核算。</w:t>
      </w:r>
    </w:p>
    <w:p w14:paraId="69451D6B">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（一）长期股权投资在取得时，应当按取得时的实际成本作为初始投资成本。初始投资成本按以下方法确定：</w:t>
      </w:r>
    </w:p>
    <w:p w14:paraId="686219E7">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1.以现金购入的长期股权投资，按照实际支付的全部价款，包括税金、手续费等相关费用，作为初始投资成本。实际支付的价款中包含的已宣告但尚未领取的现金股利，应当作为应收款项单独核算，不构成初始投资成本。</w:t>
      </w:r>
    </w:p>
    <w:p w14:paraId="65F41D89">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2.接受捐赠的长期股权投资，按照本制度第十六条的规定，确定其初始投资成本。</w:t>
      </w:r>
    </w:p>
    <w:p w14:paraId="728E9DCE">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3.通过非货币性交易换入的长期股权投资，按照本制度第十八条的规定确定其初始投资成本。</w:t>
      </w:r>
    </w:p>
    <w:p w14:paraId="7083957D">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长期股权投资应当区别不同情况，分别采用成本法或者权益法核算。如果民间非营利组织对被投资单位无控制、无共同控制且无重大影响，长期股权投资应当采用成本法进行核算；如果民间非营利组织对被投资单位具有控制、共同控制或重大影响，长期股权投资应当采用权益法进行核算。</w:t>
      </w:r>
    </w:p>
    <w:p w14:paraId="303E0888">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采用成本法核算时，被投资单位经股东大会或者类似权力机构批准宣告发放的利润或现金股利，作为当期投资收益。</w:t>
      </w:r>
    </w:p>
    <w:p w14:paraId="6F1E1818">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采用权益法核算时，按应当享有或应当分担的被投资单位当年实现的净利润或发生的净亏损的份额调整投资账面价值，并作为当期投资损益。按被投资单位宣告分派的利润或现金股利计算分得的部分，减少投资账面价值。</w:t>
      </w:r>
    </w:p>
    <w:p w14:paraId="4DCCCA9B">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被投资单位宣告分派的股票股利不作账务处理，但应当设置辅助账进行数量登记。</w:t>
      </w:r>
    </w:p>
    <w:p w14:paraId="1E9AE42E">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本制度所称的控制是指有权决定被投资单位的财务和经营政策，并能据以从该单位的经营活动中获得利益；本制度所称的共同控制，是指按合同约定对某项经济活动所共有的控制；本制度所称的重大影响，是指对被投资单位的财务和经营政策有参与决策的权力，但并不决定这些政策。</w:t>
      </w:r>
    </w:p>
    <w:p w14:paraId="345CC7E3">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（三）处置长期股权投资时，应当将实际取得价款与投资账面价值的差额确认为当期投资损益。</w:t>
      </w:r>
    </w:p>
    <w:p w14:paraId="2C2095D9">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第二十八条</w:t>
      </w:r>
      <w:r>
        <w:rPr>
          <w:rFonts w:hint="eastAsia" w:ascii="仿宋" w:hAnsi="仿宋" w:eastAsia="仿宋" w:cs="仿宋"/>
          <w:b w:val="0"/>
          <w:bCs/>
          <w:color w:val="auto"/>
          <w:sz w:val="24"/>
          <w:szCs w:val="24"/>
          <w:u w:val="none" w:color="auto"/>
          <w:lang w:val="en-US" w:eastAsia="zh-CN"/>
        </w:rPr>
        <w:t xml:space="preserve"> 长期债权投资应当按照以下原则核算。</w:t>
      </w:r>
    </w:p>
    <w:p w14:paraId="35B6BAD6">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（一）长期债权投资在取得时，应当按取得时的实际成本作为初始投资成本。初始投资成本按以下方法确定：</w:t>
      </w:r>
    </w:p>
    <w:p w14:paraId="066140B2">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1.以现金购入的长期债权投资，按照实际支付的全部价款，包括税金、手续费等相关费用，作为初始投资成本。实际支付的价款中包含的已到付息期但尚未领取的债券利息，应当作为应收款项单独核算，不构成初始投资成本。</w:t>
      </w:r>
    </w:p>
    <w:p w14:paraId="585FA365">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2.接受捐赠取得的长期债权投资，按照本制度第十六条的规定确定其初始投资成本。</w:t>
      </w:r>
    </w:p>
    <w:p w14:paraId="7CE51446">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3.通过非货币性交易换入的长期债权投资，按照本制度第十八条的规定确定其初始投资成本。</w:t>
      </w:r>
    </w:p>
    <w:p w14:paraId="303020C8">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（二）长期债权投资应当按照票面价值与票面利率按期计算确认利息收入。长期债券投资的初始投资成本与债券面值之间的差额，应当在债券存续期间，按照直线法于确认相关债券利息收入时予以摊销。</w:t>
      </w:r>
    </w:p>
    <w:p w14:paraId="3FE74CE6">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持有可转换公司债券的民间非营利组织，可转换公司债券在转换为股份之前，应当按一般债券投资进行处理。当民间非营利组织行使转换权利，将其持有的债券投资转换为股份时，应当按其账面价值减去收到的现金后的余额，作为股权投资的初始投资成本。</w:t>
      </w:r>
    </w:p>
    <w:p w14:paraId="4E904F8C">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（四）处置长期债权投资时，应当将实际取得价款与投资账面价值的差额，确认为当期投资损益。</w:t>
      </w:r>
    </w:p>
    <w:p w14:paraId="7EECE0B5">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第二十九条</w:t>
      </w:r>
      <w:r>
        <w:rPr>
          <w:rFonts w:hint="eastAsia" w:ascii="仿宋" w:hAnsi="仿宋" w:eastAsia="仿宋" w:cs="仿宋"/>
          <w:b w:val="0"/>
          <w:bCs/>
          <w:color w:val="auto"/>
          <w:sz w:val="24"/>
          <w:szCs w:val="24"/>
          <w:u w:val="none" w:color="auto"/>
          <w:lang w:val="en-US" w:eastAsia="zh-CN"/>
        </w:rPr>
        <w:t xml:space="preserve"> 民间非营利组织改变投资目的，将短期投资划转为长期投资，应当按短期投资的成本与市价孰低结转。</w:t>
      </w:r>
    </w:p>
    <w:p w14:paraId="45EDDE38">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第三十条</w:t>
      </w:r>
      <w:r>
        <w:rPr>
          <w:rFonts w:hint="eastAsia" w:ascii="仿宋" w:hAnsi="仿宋" w:eastAsia="仿宋" w:cs="仿宋"/>
          <w:b w:val="0"/>
          <w:bCs/>
          <w:color w:val="auto"/>
          <w:sz w:val="24"/>
          <w:szCs w:val="24"/>
          <w:u w:val="none" w:color="auto"/>
          <w:lang w:val="en-US" w:eastAsia="zh-CN"/>
        </w:rPr>
        <w:t xml:space="preserve"> 期末，民间非营利组织应当按照本制度第十五条的规定对长期投资是否发生了减值进行检查。如果长期投资的可收回金额低于其账面价值，应当按照可收回金额低于账面价值的差额计提长期投资减值准备，确认长期投资减值损失并计入当期费用。如果长期投资的可收回金额高于其账面价值，应当在该长期投资期初已计提减值准备的范围内转回可收回金额高于账面价值的差额，冲减当期费用。</w:t>
      </w:r>
    </w:p>
    <w:p w14:paraId="4DF5AA0C">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本制度所称可收回金额是指资产的销售净价与预期从该资产的持续使用和使用寿命结束时的处置中形成的预计未来现金流量的现值两者之中的较高者，其中销售净价是指销售价值减资产处置费用后的余额。</w:t>
      </w:r>
    </w:p>
    <w:p w14:paraId="4F3FDB5D">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第三节 固定资产</w:t>
      </w:r>
    </w:p>
    <w:p w14:paraId="3383DF23">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第三十一条</w:t>
      </w:r>
      <w:r>
        <w:rPr>
          <w:rFonts w:hint="eastAsia" w:ascii="仿宋" w:hAnsi="仿宋" w:eastAsia="仿宋" w:cs="仿宋"/>
          <w:b w:val="0"/>
          <w:bCs/>
          <w:color w:val="auto"/>
          <w:sz w:val="24"/>
          <w:szCs w:val="24"/>
          <w:u w:val="none" w:color="auto"/>
          <w:lang w:val="en-US" w:eastAsia="zh-CN"/>
        </w:rPr>
        <w:t xml:space="preserve"> 固定资产，是指同时具有以下特征的有形资产：</w:t>
      </w:r>
    </w:p>
    <w:p w14:paraId="094C7B96">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（一）为行政管理、提供服务、生产商品或者出租目的而持有的；</w:t>
      </w:r>
    </w:p>
    <w:p w14:paraId="40E7DBE3">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（二）预计使用年限超过1年；</w:t>
      </w:r>
    </w:p>
    <w:p w14:paraId="309A2E3D">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（三）单位价值较高。</w:t>
      </w:r>
    </w:p>
    <w:p w14:paraId="64ADA0B9">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第三十二条</w:t>
      </w:r>
      <w:r>
        <w:rPr>
          <w:rFonts w:hint="eastAsia" w:ascii="仿宋" w:hAnsi="仿宋" w:eastAsia="仿宋" w:cs="仿宋"/>
          <w:b w:val="0"/>
          <w:bCs/>
          <w:color w:val="auto"/>
          <w:sz w:val="24"/>
          <w:szCs w:val="24"/>
          <w:u w:val="none" w:color="auto"/>
          <w:lang w:val="en-US" w:eastAsia="zh-CN"/>
        </w:rPr>
        <w:t xml:space="preserve"> 固定资产在取得时，应当按取得时的实际成本入账。取得时的实际成本包括买价、包装费、运输费、交纳的有关税金等相关费用，以及为使固定资产达到预定可使用状态前所必要的支出。固定资产取得时的实际成本应当根据具体情况分别确定：</w:t>
      </w:r>
    </w:p>
    <w:p w14:paraId="7D2D2323">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（一）外购的固定资产，按照实际支付的买价、相关税费以及为使固定资产达到预定可使用状态前所发生的可直接归属于该固定资产的其他支出（如运输费、安装费、装卸费等）确定其成本。</w:t>
      </w:r>
    </w:p>
    <w:p w14:paraId="7B59FBBD">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如果以一笔款项购入多项没有单独标价的固定资产，按各项固定资产公允价值的比例对总成本进行分配，分别确定各项固定资产的成本。</w:t>
      </w:r>
    </w:p>
    <w:p w14:paraId="48C40C82">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（二）自行建造的固定资产，按照建造该项资产达到预定可使用状态前所发生的全部必要支出确定其成本。</w:t>
      </w:r>
    </w:p>
    <w:p w14:paraId="79455070">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（三）接受捐赠的固定资产，应当按照本制度第十六条的规定确定其成本。</w:t>
      </w:r>
    </w:p>
    <w:p w14:paraId="4BCCBA20">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（四）通过非货币性交易换入的固定资产，按照本制度第十八条的规定确定其成本。</w:t>
      </w:r>
    </w:p>
    <w:p w14:paraId="566C92A3">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（五）融资租入的固定资产，按照租赁协议或者合同确定的价款、运输款、途中保险费、安装调试费以及融资租入固定资产达到预定可使用状态前发生的借款费用等确定其成本。</w:t>
      </w:r>
    </w:p>
    <w:p w14:paraId="07997B8C">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第三十三条</w:t>
      </w:r>
      <w:r>
        <w:rPr>
          <w:rFonts w:hint="eastAsia" w:ascii="仿宋" w:hAnsi="仿宋" w:eastAsia="仿宋" w:cs="仿宋"/>
          <w:b w:val="0"/>
          <w:bCs/>
          <w:color w:val="auto"/>
          <w:sz w:val="24"/>
          <w:szCs w:val="24"/>
          <w:u w:val="none" w:color="auto"/>
          <w:lang w:val="en-US" w:eastAsia="zh-CN"/>
        </w:rPr>
        <w:t xml:space="preserve"> 在建工程，包括施工前期准备、正在施工中的建筑工程、安装工程、技术改造工程等。工程项目较多且工程支出较大的，应当按照工程项目的性质分项核算。</w:t>
      </w:r>
    </w:p>
    <w:p w14:paraId="0D1DB8C5">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第三十四条</w:t>
      </w:r>
      <w:r>
        <w:rPr>
          <w:rFonts w:hint="eastAsia" w:ascii="仿宋" w:hAnsi="仿宋" w:eastAsia="仿宋" w:cs="仿宋"/>
          <w:b w:val="0"/>
          <w:bCs/>
          <w:color w:val="auto"/>
          <w:sz w:val="24"/>
          <w:szCs w:val="24"/>
          <w:u w:val="none" w:color="auto"/>
          <w:lang w:val="en-US" w:eastAsia="zh-CN"/>
        </w:rPr>
        <w:t xml:space="preserve"> 在建工程应当按照所建造工程达到预定可使用状态前实际发生的全部必要支出确定其工程成本，并单独核算。在建工程的工程成本应当根据以下具体情况分别确定：</w:t>
      </w:r>
    </w:p>
    <w:p w14:paraId="2E79BD96">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（一）对于自营工程，按照直接材料、直接人工、直接机械使用费等确定其成本。</w:t>
      </w:r>
    </w:p>
    <w:p w14:paraId="22C4EFB0">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（二）对于出包工程，按照应支付的工程价款等确定其成本。</w:t>
      </w:r>
    </w:p>
    <w:p w14:paraId="1DAFDAF8">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第三十五条</w:t>
      </w:r>
      <w:r>
        <w:rPr>
          <w:rFonts w:hint="eastAsia" w:ascii="仿宋" w:hAnsi="仿宋" w:eastAsia="仿宋" w:cs="仿宋"/>
          <w:b w:val="0"/>
          <w:bCs/>
          <w:color w:val="auto"/>
          <w:sz w:val="24"/>
          <w:szCs w:val="24"/>
          <w:u w:val="none" w:color="auto"/>
          <w:lang w:val="en-US" w:eastAsia="zh-CN"/>
        </w:rPr>
        <w:t xml:space="preserve"> 为购建固定资产而发生的专门借款的借款费用在规定的允许资本化的期间内，应当按照专门借款的借款费用的实际发生额予以资本化，计入在建工程成本。这里的借款费用包括因借款而发生的利息、辅助费用以及因外币借款而发生的汇兑差额。</w:t>
      </w:r>
    </w:p>
    <w:p w14:paraId="55CB7C0B">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只有在以下三个条件同时具备时，因专门借款所发生的借款费用才允许开始资本化：</w:t>
      </w:r>
    </w:p>
    <w:p w14:paraId="4C5C8204">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（一）资产支出已经发生；</w:t>
      </w:r>
    </w:p>
    <w:p w14:paraId="45CA8338">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（二）借款费用已经发生；</w:t>
      </w:r>
    </w:p>
    <w:p w14:paraId="1E5B8DE4">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（三）为使资产达到预定可使用状态所必要的购建活动已经开始。</w:t>
      </w:r>
    </w:p>
    <w:p w14:paraId="442EFC71">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如果固定资产的购建活动发生非正常中断，并且中断时间连续超过3个月（含3个月），应当暂停借款费用的资本化，将中断期间内所发生的借款费用确认为当期费用，直至资产的购建活动重新开始。但是，如果中断是使购建的固定资产达到预定可使用状态所必要的程序，则借款费用的资本化应当继续进行。</w:t>
      </w:r>
    </w:p>
    <w:p w14:paraId="26CEC79D">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当所购建的固定资产达到预定可使用状态时，应当停止借款费用的资本化，之后所发生的借款费用应当于发生时计入当期费用。通常所购建的固定资产达到以下状态时，应当视为所购建的固定资产已经达到预定可使用状态：</w:t>
      </w:r>
    </w:p>
    <w:p w14:paraId="6E90E504">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（一）固定资产的实体建造（包括安装）工作已经全部完成或者实质上已经完成；</w:t>
      </w:r>
    </w:p>
    <w:p w14:paraId="47689920">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（二）所购建的固定资产与设计要求或者合同要求相符或者基本相符，即使有极个别与设计或者合同要求不相符的地方，也不影响其正常使用；</w:t>
      </w:r>
    </w:p>
    <w:p w14:paraId="307FAC91">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（三）继续发生在所购建固定资产上的支出金额很少或者几乎不再发生。</w:t>
      </w:r>
    </w:p>
    <w:p w14:paraId="55B38B08">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第三十六条</w:t>
      </w:r>
      <w:r>
        <w:rPr>
          <w:rFonts w:hint="eastAsia" w:ascii="仿宋" w:hAnsi="仿宋" w:eastAsia="仿宋" w:cs="仿宋"/>
          <w:b w:val="0"/>
          <w:bCs/>
          <w:color w:val="auto"/>
          <w:sz w:val="24"/>
          <w:szCs w:val="24"/>
          <w:u w:val="none" w:color="auto"/>
          <w:lang w:val="en-US" w:eastAsia="zh-CN"/>
        </w:rPr>
        <w:t xml:space="preserve"> 所购建的固定资产已达到预定可使用状态时，应当自达到预定可使用状态之日起，将在建工程成本转入固定资产核算。</w:t>
      </w:r>
    </w:p>
    <w:p w14:paraId="1E61C1B4">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第三十七条</w:t>
      </w:r>
      <w:r>
        <w:rPr>
          <w:rFonts w:hint="eastAsia" w:ascii="仿宋" w:hAnsi="仿宋" w:eastAsia="仿宋" w:cs="仿宋"/>
          <w:b w:val="0"/>
          <w:bCs/>
          <w:color w:val="auto"/>
          <w:sz w:val="24"/>
          <w:szCs w:val="24"/>
          <w:u w:val="none" w:color="auto"/>
          <w:lang w:val="en-US" w:eastAsia="zh-CN"/>
        </w:rPr>
        <w:t xml:space="preserve"> 民间非营利组织应当对固定资产计提折旧，在固定资产的预计使用寿命内系统地分摊固定资产的成本。</w:t>
      </w:r>
    </w:p>
    <w:p w14:paraId="112EC401">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民间非营利组织应当根据固定资产的性质和消耗方式，合理地确定固定资产的预计使用年限和预计净残值。</w:t>
      </w:r>
    </w:p>
    <w:p w14:paraId="1B0D4609">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民间非营利组织应当按照固定资产所含经济利益或者服务潜力的预期实现方式选择折旧方法，可选用的折旧方法包括年限平均法、工作量法、双倍余额递减法和年数总和法。折旧方法一经确定，不得随意变更。如果由于固定资产所含经济利益或者服务潜力预期实现方式发生重大改变而确实需要变更的，应当在会计报表附注中披露相关信息。</w:t>
      </w:r>
    </w:p>
    <w:p w14:paraId="7C873351">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第三十八条</w:t>
      </w:r>
      <w:r>
        <w:rPr>
          <w:rFonts w:hint="eastAsia" w:ascii="仿宋" w:hAnsi="仿宋" w:eastAsia="仿宋" w:cs="仿宋"/>
          <w:b w:val="0"/>
          <w:bCs/>
          <w:color w:val="auto"/>
          <w:sz w:val="24"/>
          <w:szCs w:val="24"/>
          <w:u w:val="none" w:color="auto"/>
          <w:lang w:val="en-US" w:eastAsia="zh-CN"/>
        </w:rPr>
        <w:t xml:space="preserve"> 民间非营利组织应当按月提取折旧，当月增加的固定资产，当月不提折旧，从下月起计提折旧；当月减少的固定资产，当月照提折旧，从下月起不提折旧。</w:t>
      </w:r>
    </w:p>
    <w:p w14:paraId="0209722C">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第三十九条</w:t>
      </w:r>
      <w:r>
        <w:rPr>
          <w:rFonts w:hint="eastAsia" w:ascii="仿宋" w:hAnsi="仿宋" w:eastAsia="仿宋" w:cs="仿宋"/>
          <w:b w:val="0"/>
          <w:bCs/>
          <w:color w:val="auto"/>
          <w:sz w:val="24"/>
          <w:szCs w:val="24"/>
          <w:u w:val="none" w:color="auto"/>
          <w:lang w:val="en-US" w:eastAsia="zh-CN"/>
        </w:rPr>
        <w:t xml:space="preserve"> 与固定资产有关的后续支出，如果使可能流入民间非营利组织的经济利益或者服务潜力超过了原先的估计，如延长了固定资产的使用寿命，或者使服务质量实质性提高，或者使商品成本实质性降低，则应当计入固定资产账面价值，但其增计后的金额不应当超过该固定资产的可收回金额。其他后续支出，应当计入当期费用。</w:t>
      </w:r>
    </w:p>
    <w:p w14:paraId="30140624">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第四十条</w:t>
      </w:r>
      <w:r>
        <w:rPr>
          <w:rFonts w:hint="eastAsia" w:ascii="仿宋" w:hAnsi="仿宋" w:eastAsia="仿宋" w:cs="仿宋"/>
          <w:b w:val="0"/>
          <w:bCs/>
          <w:color w:val="auto"/>
          <w:sz w:val="24"/>
          <w:szCs w:val="24"/>
          <w:u w:val="none" w:color="auto"/>
          <w:lang w:val="en-US" w:eastAsia="zh-CN"/>
        </w:rPr>
        <w:t xml:space="preserve"> 民间非营利组织由于出售、报废或者毁损等原因而发生的固定资产清理净损益，应当计入当期收入或者费用。</w:t>
      </w:r>
    </w:p>
    <w:p w14:paraId="1C766F1A">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第四十一条</w:t>
      </w:r>
      <w:r>
        <w:rPr>
          <w:rFonts w:hint="eastAsia" w:ascii="仿宋" w:hAnsi="仿宋" w:eastAsia="仿宋" w:cs="仿宋"/>
          <w:b w:val="0"/>
          <w:bCs/>
          <w:color w:val="auto"/>
          <w:sz w:val="24"/>
          <w:szCs w:val="24"/>
          <w:u w:val="none" w:color="auto"/>
          <w:lang w:val="en-US" w:eastAsia="zh-CN"/>
        </w:rPr>
        <w:t xml:space="preserve"> 用于展览、教育或研究等目的的历史文物、艺术品以及其他具有文化或者历史价值并作长期或者永久保存的典藏等，作为固定资产核算，但不必计提折旧。在资产负债表中，应当单列“文物文化资产”项目予以单独反映。</w:t>
      </w:r>
    </w:p>
    <w:p w14:paraId="2E1E0553">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第四十二条</w:t>
      </w:r>
      <w:r>
        <w:rPr>
          <w:rFonts w:hint="eastAsia" w:ascii="仿宋" w:hAnsi="仿宋" w:eastAsia="仿宋" w:cs="仿宋"/>
          <w:b w:val="0"/>
          <w:bCs/>
          <w:color w:val="auto"/>
          <w:sz w:val="24"/>
          <w:szCs w:val="24"/>
          <w:u w:val="none" w:color="auto"/>
          <w:lang w:val="en-US" w:eastAsia="zh-CN"/>
        </w:rPr>
        <w:t xml:space="preserve"> 民间非营利组织对固定资产应当定期或者至少每年实地盘点一次。对盘盈、盘亏的固定资产，应当及时查明原因，写出书面报告，并根据管理权限经董事会、理事会或类似权力机构批准后，在期末结账前处理完毕。盘盈的固定资产应当按照其公允价值入账，并计入当期收入；盘亏的固定资产在减去过失人或者保险公司等赔款和残料价值之后计入当期费用。</w:t>
      </w:r>
    </w:p>
    <w:p w14:paraId="6353EE96">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 xml:space="preserve">第四十三条 </w:t>
      </w:r>
      <w:r>
        <w:rPr>
          <w:rFonts w:hint="eastAsia" w:ascii="仿宋" w:hAnsi="仿宋" w:eastAsia="仿宋" w:cs="仿宋"/>
          <w:b w:val="0"/>
          <w:bCs/>
          <w:color w:val="auto"/>
          <w:sz w:val="24"/>
          <w:szCs w:val="24"/>
          <w:u w:val="none" w:color="auto"/>
          <w:lang w:val="en-US" w:eastAsia="zh-CN"/>
        </w:rPr>
        <w:t>民间非营利组织对固定资产的购建、出售、清理、报废和内部转移等都应当办理会计手续，并应当设置固定资产明细账（或者固定资产卡片）进行明细核算。</w:t>
      </w:r>
    </w:p>
    <w:p w14:paraId="359F1267">
      <w:pPr>
        <w:keepNext w:val="0"/>
        <w:keepLines w:val="0"/>
        <w:pageBreakBefore w:val="0"/>
        <w:widowControl w:val="0"/>
        <w:kinsoku/>
        <w:wordWrap/>
        <w:overflowPunct/>
        <w:topLinePunct w:val="0"/>
        <w:autoSpaceDE/>
        <w:autoSpaceDN/>
        <w:bidi w:val="0"/>
        <w:adjustRightInd/>
        <w:snapToGrid/>
        <w:ind w:left="0" w:leftChars="0" w:firstLine="482" w:firstLineChars="200"/>
        <w:jc w:val="both"/>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第四节 无形资产</w:t>
      </w:r>
    </w:p>
    <w:p w14:paraId="58EA82D7">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第四十四条</w:t>
      </w:r>
      <w:r>
        <w:rPr>
          <w:rFonts w:hint="eastAsia" w:ascii="仿宋" w:hAnsi="仿宋" w:eastAsia="仿宋" w:cs="仿宋"/>
          <w:b w:val="0"/>
          <w:bCs/>
          <w:color w:val="auto"/>
          <w:sz w:val="24"/>
          <w:szCs w:val="24"/>
          <w:u w:val="none" w:color="auto"/>
          <w:lang w:val="en-US" w:eastAsia="zh-CN"/>
        </w:rPr>
        <w:t xml:space="preserve"> 无形资产是指民间非营利组织为开展业务活动、出租给他人或为管理目的而持有的且没有实物形态的非货币性长期资产，包括专利权、非专利技术、商标权、著作权、土地使用权等。</w:t>
      </w:r>
    </w:p>
    <w:p w14:paraId="5ADEBF83">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第四十五条</w:t>
      </w:r>
      <w:r>
        <w:rPr>
          <w:rFonts w:hint="eastAsia" w:ascii="仿宋" w:hAnsi="仿宋" w:eastAsia="仿宋" w:cs="仿宋"/>
          <w:b w:val="0"/>
          <w:bCs/>
          <w:color w:val="auto"/>
          <w:sz w:val="24"/>
          <w:szCs w:val="24"/>
          <w:u w:val="none" w:color="auto"/>
          <w:lang w:val="en-US" w:eastAsia="zh-CN"/>
        </w:rPr>
        <w:t xml:space="preserve"> 无形资产在取得时，应当按照取得时的实际成本入账。</w:t>
      </w:r>
    </w:p>
    <w:p w14:paraId="4590CFD5">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（一）购入的无形资产，按照实际支付的价款确定其实际成本。</w:t>
      </w:r>
    </w:p>
    <w:p w14:paraId="70CFAA33">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自行开发并按法律程序申请取得的无形资产，按依法取得时发生的注册费、聘请律师费等费用，作为无形资产的实际成本。依法取得前，在研究与开发过程中发生的材料费用、直接参与开发人员的工资及福利费、开发过程中发生的租金、借款费用等直接计入当期费用。</w:t>
      </w:r>
    </w:p>
    <w:p w14:paraId="38406C84">
      <w:pPr>
        <w:keepNext w:val="0"/>
        <w:keepLines w:val="0"/>
        <w:pageBreakBefore w:val="0"/>
        <w:widowControl w:val="0"/>
        <w:kinsoku/>
        <w:wordWrap/>
        <w:overflowPunct/>
        <w:topLinePunct w:val="0"/>
        <w:autoSpaceDE/>
        <w:autoSpaceDN/>
        <w:bidi w:val="0"/>
        <w:adjustRightInd/>
        <w:snapToGrid/>
        <w:ind w:left="479" w:leftChars="228" w:firstLine="0" w:firstLineChars="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（三）接受捐赠的无形资产，按照本制度第十六条的规定确定其实际成本。（四）通过非货币性交易换入的无形资产，按照本制度第十八条的规定确定</w:t>
      </w:r>
    </w:p>
    <w:p w14:paraId="6AEF6235">
      <w:pPr>
        <w:keepNext w:val="0"/>
        <w:keepLines w:val="0"/>
        <w:pageBreakBefore w:val="0"/>
        <w:widowControl w:val="0"/>
        <w:kinsoku/>
        <w:wordWrap/>
        <w:overflowPunct/>
        <w:topLinePunct w:val="0"/>
        <w:autoSpaceDE/>
        <w:autoSpaceDN/>
        <w:bidi w:val="0"/>
        <w:adjustRightInd/>
        <w:snapToGrid/>
        <w:ind w:left="480" w:leftChars="0" w:hanging="480" w:hanging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其实际成本。</w:t>
      </w:r>
    </w:p>
    <w:p w14:paraId="549C563A">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第四十六条</w:t>
      </w:r>
      <w:r>
        <w:rPr>
          <w:rFonts w:hint="eastAsia" w:ascii="仿宋" w:hAnsi="仿宋" w:eastAsia="仿宋" w:cs="仿宋"/>
          <w:b w:val="0"/>
          <w:bCs/>
          <w:color w:val="auto"/>
          <w:sz w:val="24"/>
          <w:szCs w:val="24"/>
          <w:u w:val="none" w:color="auto"/>
          <w:lang w:val="en-US" w:eastAsia="zh-CN"/>
        </w:rPr>
        <w:t xml:space="preserve"> 无形资产应当自取得当月起在预计使用年限内分期平均摊销，计入当期费用。如预计使用年限超过了相关合同规定的受益年限或法律规定的有效年限，该无形资产的摊销年限按如下原则确定：</w:t>
      </w:r>
    </w:p>
    <w:p w14:paraId="4C6061EA">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（一）合同规定了受益年限但法律没有规定有效年限的，摊销期不应超过合同规定的受益年限；</w:t>
      </w:r>
    </w:p>
    <w:p w14:paraId="4F84754F">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（二）合同没有规定受益年限但法律规定了有效年限的，摊销期不应超过法律规定的有效年限；</w:t>
      </w:r>
    </w:p>
    <w:p w14:paraId="3432328E">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（三）合同规定了受益年限，法律也规定了有效年限的，摊销期不应超过受益年限和有效年限两者之中较短者。</w:t>
      </w:r>
    </w:p>
    <w:p w14:paraId="595FA607">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如果合同没有规定受益年限，法律也没有规定有效年限的，摊销期不应超过10年。</w:t>
      </w:r>
    </w:p>
    <w:p w14:paraId="5C5BB851">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第四十七条</w:t>
      </w:r>
      <w:r>
        <w:rPr>
          <w:rFonts w:hint="eastAsia" w:ascii="仿宋" w:hAnsi="仿宋" w:eastAsia="仿宋" w:cs="仿宋"/>
          <w:b w:val="0"/>
          <w:bCs/>
          <w:color w:val="auto"/>
          <w:sz w:val="24"/>
          <w:szCs w:val="24"/>
          <w:u w:val="none" w:color="auto"/>
          <w:lang w:val="en-US" w:eastAsia="zh-CN"/>
        </w:rPr>
        <w:t xml:space="preserve"> 民间非营利组织处置无形资产，应当将实际取得的价款与该项无形资产的账面价值之间的差额，计入当期收入或者费用。</w:t>
      </w:r>
    </w:p>
    <w:p w14:paraId="3694C02E">
      <w:pPr>
        <w:keepNext w:val="0"/>
        <w:keepLines w:val="0"/>
        <w:pageBreakBefore w:val="0"/>
        <w:widowControl w:val="0"/>
        <w:kinsoku/>
        <w:wordWrap/>
        <w:overflowPunct/>
        <w:topLinePunct w:val="0"/>
        <w:autoSpaceDE/>
        <w:autoSpaceDN/>
        <w:bidi w:val="0"/>
        <w:adjustRightInd/>
        <w:snapToGrid/>
        <w:ind w:left="0" w:leftChars="0" w:firstLine="482" w:firstLineChars="200"/>
        <w:jc w:val="both"/>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第五节 受托代理资产</w:t>
      </w:r>
    </w:p>
    <w:p w14:paraId="34307C42">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第四十八条</w:t>
      </w:r>
      <w:r>
        <w:rPr>
          <w:rFonts w:hint="eastAsia" w:ascii="仿宋" w:hAnsi="仿宋" w:eastAsia="仿宋" w:cs="仿宋"/>
          <w:b w:val="0"/>
          <w:bCs/>
          <w:color w:val="auto"/>
          <w:sz w:val="24"/>
          <w:szCs w:val="24"/>
          <w:u w:val="none" w:color="auto"/>
          <w:lang w:val="en-US" w:eastAsia="zh-CN"/>
        </w:rPr>
        <w:t xml:space="preserve"> 受托代理资产是指民间非营利组织接受委托方委托从事受托代理业务而收到的资产。在受托代理过程中，民间非营利组织通常只是从委托方收到受托资产，并按照委托人的意愿将资产转赠给指定的其他组织或者个人。民间非营利组织本身只是在委托代理过程中起中介作用，无权改变受托代理资产的用途或者变更受益人。</w:t>
      </w:r>
    </w:p>
    <w:p w14:paraId="06CA9008">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民间非营利组织应当对受托代理资产比照接受捐赠资产的原则进行确认和计量，但在确认一项受托代理资产时，应当同时确认一项受托代理负债。</w:t>
      </w:r>
    </w:p>
    <w:p w14:paraId="574FC84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黑体" w:hAnsi="黑体" w:eastAsia="黑体" w:cs="黑体"/>
          <w:b/>
          <w:bCs w:val="0"/>
          <w:color w:val="auto"/>
          <w:sz w:val="24"/>
          <w:szCs w:val="24"/>
          <w:u w:val="none" w:color="auto"/>
          <w:lang w:val="en-US" w:eastAsia="zh-CN"/>
        </w:rPr>
      </w:pPr>
      <w:bookmarkStart w:id="38" w:name="_Toc1485641547"/>
      <w:bookmarkStart w:id="39" w:name="_Toc672220918"/>
      <w:r>
        <w:rPr>
          <w:rFonts w:hint="eastAsia" w:ascii="黑体" w:hAnsi="黑体" w:eastAsia="黑体" w:cs="黑体"/>
          <w:b/>
          <w:bCs w:val="0"/>
          <w:color w:val="auto"/>
          <w:sz w:val="24"/>
          <w:szCs w:val="24"/>
          <w:u w:val="none" w:color="auto"/>
          <w:lang w:val="en-US" w:eastAsia="zh-CN"/>
        </w:rPr>
        <w:t>第三章 负债</w:t>
      </w:r>
      <w:bookmarkEnd w:id="38"/>
      <w:bookmarkEnd w:id="39"/>
    </w:p>
    <w:p w14:paraId="1FB17684">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第四十九条</w:t>
      </w:r>
      <w:r>
        <w:rPr>
          <w:rFonts w:hint="eastAsia" w:ascii="仿宋" w:hAnsi="仿宋" w:eastAsia="仿宋" w:cs="仿宋"/>
          <w:b w:val="0"/>
          <w:bCs/>
          <w:color w:val="auto"/>
          <w:sz w:val="24"/>
          <w:szCs w:val="24"/>
          <w:u w:val="none" w:color="auto"/>
          <w:lang w:val="en-US" w:eastAsia="zh-CN"/>
        </w:rPr>
        <w:t xml:space="preserve"> 负债是指过去的交易或者事项形成的现时义务，履行该义务预期会导致含有经济利益或者服务潜力的资源流出民间非营利组织。负债应当按其流动性分为流动负债、长期负债和受托代理负债等。</w:t>
      </w:r>
    </w:p>
    <w:p w14:paraId="57BD3D7B">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第五十条</w:t>
      </w:r>
      <w:r>
        <w:rPr>
          <w:rFonts w:hint="eastAsia" w:ascii="仿宋" w:hAnsi="仿宋" w:eastAsia="仿宋" w:cs="仿宋"/>
          <w:b w:val="0"/>
          <w:bCs/>
          <w:color w:val="auto"/>
          <w:sz w:val="24"/>
          <w:szCs w:val="24"/>
          <w:u w:val="none" w:color="auto"/>
          <w:lang w:val="en-US" w:eastAsia="zh-CN"/>
        </w:rPr>
        <w:t xml:space="preserve"> 或有事项是指过去的交易或者事项形成的一种状况，其结果须通过未来不确定事项的发生或不发生予以证实。</w:t>
      </w:r>
    </w:p>
    <w:p w14:paraId="7236225F">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如果与或有事项相关的义务同时符合以下条件，应当将其确认为负债，以清偿该负债所需支出的最佳估计数予以计量，并在资产负债表中单列项目予以反映：</w:t>
      </w:r>
    </w:p>
    <w:p w14:paraId="20352E1B">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（一）该义务是民间非营利组织承担的现时义务；</w:t>
      </w:r>
    </w:p>
    <w:p w14:paraId="71288E8F">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（二）该义务的履行很可能导致含有经济利益或者服务潜力的资源流出民间非营利组织；</w:t>
      </w:r>
    </w:p>
    <w:p w14:paraId="019D633B">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（三）该义务的金额能够可靠地计量。</w:t>
      </w:r>
    </w:p>
    <w:p w14:paraId="2A1B99A3">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第五十一条</w:t>
      </w:r>
      <w:r>
        <w:rPr>
          <w:rFonts w:hint="eastAsia" w:ascii="仿宋" w:hAnsi="仿宋" w:eastAsia="仿宋" w:cs="仿宋"/>
          <w:b w:val="0"/>
          <w:bCs/>
          <w:color w:val="auto"/>
          <w:sz w:val="24"/>
          <w:szCs w:val="24"/>
          <w:u w:val="none" w:color="auto"/>
          <w:lang w:val="en-US" w:eastAsia="zh-CN"/>
        </w:rPr>
        <w:t xml:space="preserve"> 流动负债是指将在1年内（含1年）偿还的负债，包括短期借款、应付款项、应付工资、应交税金、预收账款、预提费用和预计负债等。</w:t>
      </w:r>
    </w:p>
    <w:p w14:paraId="03B1FAC2">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（一）短期借款是指民间非营利组织向银行或其他金融机构等借入的期限在1年以下（含1年）的各种借款。</w:t>
      </w:r>
    </w:p>
    <w:p w14:paraId="54FAF2BC">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（二）应付款项是指民间非营利组织在日常业务活动过程中发生的各项应付票据、应付账款和其他应付款等应付未付款项。</w:t>
      </w:r>
    </w:p>
    <w:p w14:paraId="5E694E0D">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（三）应付工资是指民间非营利组织应付未付的员工工资。</w:t>
      </w:r>
    </w:p>
    <w:p w14:paraId="65E0789E">
      <w:pPr>
        <w:keepNext w:val="0"/>
        <w:keepLines w:val="0"/>
        <w:pageBreakBefore w:val="0"/>
        <w:widowControl w:val="0"/>
        <w:kinsoku/>
        <w:wordWrap/>
        <w:overflowPunct/>
        <w:topLinePunct w:val="0"/>
        <w:autoSpaceDE/>
        <w:autoSpaceDN/>
        <w:bidi w:val="0"/>
        <w:adjustRightInd/>
        <w:snapToGrid/>
        <w:ind w:left="0" w:leftChars="0" w:firstLine="480" w:firstLineChars="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（四）应交税金是指民间非营利组织应交未交的各种税费。</w:t>
      </w:r>
    </w:p>
    <w:p w14:paraId="73A0EDE2">
      <w:pPr>
        <w:keepNext w:val="0"/>
        <w:keepLines w:val="0"/>
        <w:pageBreakBefore w:val="0"/>
        <w:widowControl w:val="0"/>
        <w:kinsoku/>
        <w:wordWrap/>
        <w:overflowPunct/>
        <w:topLinePunct w:val="0"/>
        <w:autoSpaceDE/>
        <w:autoSpaceDN/>
        <w:bidi w:val="0"/>
        <w:adjustRightInd/>
        <w:snapToGrid/>
        <w:ind w:left="0" w:leftChars="0" w:firstLine="480" w:firstLineChars="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（五）预收账款是指民间非营利组织向服务和商品购买单位预收的各种款项。</w:t>
      </w:r>
    </w:p>
    <w:p w14:paraId="18304FBB">
      <w:pPr>
        <w:keepNext w:val="0"/>
        <w:keepLines w:val="0"/>
        <w:pageBreakBefore w:val="0"/>
        <w:widowControl w:val="0"/>
        <w:kinsoku/>
        <w:wordWrap/>
        <w:overflowPunct/>
        <w:topLinePunct w:val="0"/>
        <w:autoSpaceDE/>
        <w:autoSpaceDN/>
        <w:bidi w:val="0"/>
        <w:adjustRightInd/>
        <w:snapToGrid/>
        <w:ind w:left="0" w:leftChars="0" w:firstLine="480" w:firstLineChars="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（六）预提费用是指民间非营利组织预先提取的已经发生但尚未支付的费用，如预提的租金、保险费、借款利息等。</w:t>
      </w:r>
    </w:p>
    <w:p w14:paraId="6DFE863B">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（七）预计负债是指民间非营利组织对因或有事项所产生的现时义务而确认的负债。</w:t>
      </w:r>
    </w:p>
    <w:p w14:paraId="7D9BB833">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第五十二条</w:t>
      </w:r>
      <w:r>
        <w:rPr>
          <w:rFonts w:hint="eastAsia" w:ascii="仿宋" w:hAnsi="仿宋" w:eastAsia="仿宋" w:cs="仿宋"/>
          <w:b w:val="0"/>
          <w:bCs/>
          <w:color w:val="auto"/>
          <w:sz w:val="24"/>
          <w:szCs w:val="24"/>
          <w:u w:val="none" w:color="auto"/>
          <w:lang w:val="en-US" w:eastAsia="zh-CN"/>
        </w:rPr>
        <w:t xml:space="preserve"> 各项流动负债应当按实际发生额入账。</w:t>
      </w:r>
    </w:p>
    <w:p w14:paraId="0527CCD6">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短期借款应当按照借款本金和确定的利率按期计提利息，计入当期费用。</w:t>
      </w:r>
    </w:p>
    <w:p w14:paraId="5632B186">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第五十三条</w:t>
      </w:r>
      <w:r>
        <w:rPr>
          <w:rFonts w:hint="eastAsia" w:ascii="仿宋" w:hAnsi="仿宋" w:eastAsia="仿宋" w:cs="仿宋"/>
          <w:b w:val="0"/>
          <w:bCs/>
          <w:color w:val="auto"/>
          <w:sz w:val="24"/>
          <w:szCs w:val="24"/>
          <w:u w:val="none" w:color="auto"/>
          <w:lang w:val="en-US" w:eastAsia="zh-CN"/>
        </w:rPr>
        <w:t xml:space="preserve"> 长期负债是指偿还期限在1年以上（不含1年）的负债，包括长期借款、长期应付款和其他长期负债。</w:t>
      </w:r>
    </w:p>
    <w:p w14:paraId="3D7F4A3C">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（一）长期借款是指民间非营利组织向银行或其他金融机构等借入的期限在1年以上（不含1年）的各种借款。</w:t>
      </w:r>
    </w:p>
    <w:p w14:paraId="0964F862">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（二）长期应付款主要是指民间非营利组织融资租入固定资产发生的应付租赁款。</w:t>
      </w:r>
    </w:p>
    <w:p w14:paraId="1DBB4119">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（三）其他长期负债是指除长期借款和长期应付款外的长期负债。</w:t>
      </w:r>
    </w:p>
    <w:p w14:paraId="1CCAA541">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第五十四条</w:t>
      </w:r>
      <w:r>
        <w:rPr>
          <w:rFonts w:hint="eastAsia" w:ascii="仿宋" w:hAnsi="仿宋" w:eastAsia="仿宋" w:cs="仿宋"/>
          <w:b w:val="0"/>
          <w:bCs/>
          <w:color w:val="auto"/>
          <w:sz w:val="24"/>
          <w:szCs w:val="24"/>
          <w:u w:val="none" w:color="auto"/>
          <w:lang w:val="en-US" w:eastAsia="zh-CN"/>
        </w:rPr>
        <w:t xml:space="preserve"> 各项长期负债应当按实际发生额入账。</w:t>
      </w:r>
    </w:p>
    <w:p w14:paraId="507FFA95">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第五十五条</w:t>
      </w:r>
      <w:r>
        <w:rPr>
          <w:rFonts w:hint="eastAsia" w:ascii="仿宋" w:hAnsi="仿宋" w:eastAsia="仿宋" w:cs="仿宋"/>
          <w:b w:val="0"/>
          <w:bCs/>
          <w:color w:val="auto"/>
          <w:sz w:val="24"/>
          <w:szCs w:val="24"/>
          <w:u w:val="none" w:color="auto"/>
          <w:lang w:val="en-US" w:eastAsia="zh-CN"/>
        </w:rPr>
        <w:t xml:space="preserve"> 受托代理负债是指民间非营利组织因从事受托代理交易、接受受托代理资产而产生的负债。受托代理负债应当按照相对应的受托代理资产的金额予以确认和计量。</w:t>
      </w:r>
    </w:p>
    <w:p w14:paraId="77DDD63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b w:val="0"/>
          <w:bCs/>
          <w:color w:val="auto"/>
          <w:sz w:val="24"/>
          <w:szCs w:val="24"/>
          <w:u w:val="none" w:color="auto"/>
          <w:lang w:val="en-US" w:eastAsia="zh-CN"/>
        </w:rPr>
      </w:pPr>
      <w:bookmarkStart w:id="40" w:name="_Toc1782368285"/>
      <w:bookmarkStart w:id="41" w:name="_Toc1605019795"/>
      <w:r>
        <w:rPr>
          <w:rFonts w:hint="eastAsia" w:ascii="黑体" w:hAnsi="黑体" w:eastAsia="黑体" w:cs="黑体"/>
          <w:b/>
          <w:bCs w:val="0"/>
          <w:color w:val="auto"/>
          <w:sz w:val="24"/>
          <w:szCs w:val="24"/>
          <w:u w:val="none" w:color="auto"/>
          <w:lang w:val="en-US" w:eastAsia="zh-CN"/>
        </w:rPr>
        <w:t>第四章 净资产</w:t>
      </w:r>
      <w:bookmarkEnd w:id="40"/>
      <w:bookmarkEnd w:id="41"/>
    </w:p>
    <w:p w14:paraId="690652D4">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第五十六条</w:t>
      </w:r>
      <w:r>
        <w:rPr>
          <w:rFonts w:hint="eastAsia" w:ascii="仿宋" w:hAnsi="仿宋" w:eastAsia="仿宋" w:cs="仿宋"/>
          <w:b w:val="0"/>
          <w:bCs/>
          <w:color w:val="auto"/>
          <w:sz w:val="24"/>
          <w:szCs w:val="24"/>
          <w:u w:val="none" w:color="auto"/>
          <w:lang w:val="en-US" w:eastAsia="zh-CN"/>
        </w:rPr>
        <w:t xml:space="preserve"> 民间非营利组织的净资产是指资产减去负债后的余额。净资产应当按照其是否受到限制，分为限定性净资产和非限定性净资产等。</w:t>
      </w:r>
    </w:p>
    <w:p w14:paraId="62C18EFF">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如果资产或者资产所产生的经济利益（如资产的投资收益和利息等）的使用受到资产提供者或者国家有关法律、行政法规所设置的时间限制或（和）用途限制，则由此形成的净资产即为限定性净资产，国家有关法律、行政法规对净资产的使用直接设置限制的，该受限制的净资产亦为限定性净资产；除此之外的其他净资产，即为非限定性净资产。</w:t>
      </w:r>
    </w:p>
    <w:p w14:paraId="053E1435">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本制度所称的时间限制，是指资产提供者或者国家有关法律、行政法规要求民间非营利组织在收到资产后的特定时期之内或特定日期之后使用该项资产，或者对资产的使用设置了永久限制。</w:t>
      </w:r>
    </w:p>
    <w:p w14:paraId="586A4C61">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本制度所称的用途限制，是指资产提供者或者国家有关法律、行政法规要求民间非营利组织将收到的资产用于某一特定的用途。</w:t>
      </w:r>
    </w:p>
    <w:p w14:paraId="05CE3AD6">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民间非营利组织的董事会、理事会或类似权力机构对净资产的使用所作的限定性决策、决议或拨款限额等，属于民间非营利组织内部管理上对资产使用所作的限制，不属于本制度所界定的限定性净资产。</w:t>
      </w:r>
    </w:p>
    <w:p w14:paraId="0FB98C4E">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第五十七条</w:t>
      </w:r>
      <w:r>
        <w:rPr>
          <w:rFonts w:hint="eastAsia" w:ascii="仿宋" w:hAnsi="仿宋" w:eastAsia="仿宋" w:cs="仿宋"/>
          <w:b w:val="0"/>
          <w:bCs/>
          <w:color w:val="auto"/>
          <w:sz w:val="24"/>
          <w:szCs w:val="24"/>
          <w:u w:val="none" w:color="auto"/>
          <w:lang w:val="en-US" w:eastAsia="zh-CN"/>
        </w:rPr>
        <w:t xml:space="preserve"> 如果限定性净资产的限制已经解除，应当对净资产进行重新分类，将限定性净资产转为非限定性净资产。</w:t>
      </w:r>
    </w:p>
    <w:p w14:paraId="2E32E6D1">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当存在下列情况之一时，可以认为限定性净资产的限制已经解除：</w:t>
      </w:r>
    </w:p>
    <w:p w14:paraId="561C1409">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（一）所限定净资产的限制时间已经到期；</w:t>
      </w:r>
    </w:p>
    <w:p w14:paraId="67D4D88B">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（二）所限定净资产规定的用途已经实现（或者目的已经达到）；</w:t>
      </w:r>
    </w:p>
    <w:p w14:paraId="0775A2C5">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（三）资产提供者或者国家有关法律、行政法规撤销了所设置的限制。</w:t>
      </w:r>
    </w:p>
    <w:p w14:paraId="58EB5390">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如果限定性净资产受到两项或两项以上的限制，应当在最后一项限制解除时，才能认为该项限定性净资产的限制已经解除。</w:t>
      </w:r>
    </w:p>
    <w:p w14:paraId="44E850B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黑体" w:hAnsi="黑体" w:eastAsia="黑体" w:cs="黑体"/>
          <w:b/>
          <w:bCs w:val="0"/>
          <w:color w:val="auto"/>
          <w:sz w:val="24"/>
          <w:szCs w:val="24"/>
          <w:u w:val="none" w:color="auto"/>
          <w:lang w:val="en-US" w:eastAsia="zh-CN"/>
        </w:rPr>
      </w:pPr>
      <w:bookmarkStart w:id="42" w:name="_Toc713230291"/>
      <w:bookmarkStart w:id="43" w:name="_Toc2051578094"/>
      <w:r>
        <w:rPr>
          <w:rFonts w:hint="eastAsia" w:ascii="黑体" w:hAnsi="黑体" w:eastAsia="黑体" w:cs="黑体"/>
          <w:b/>
          <w:bCs w:val="0"/>
          <w:color w:val="auto"/>
          <w:sz w:val="24"/>
          <w:szCs w:val="24"/>
          <w:u w:val="none" w:color="auto"/>
          <w:lang w:val="en-US" w:eastAsia="zh-CN"/>
        </w:rPr>
        <w:t>第五章 收入</w:t>
      </w:r>
      <w:bookmarkEnd w:id="42"/>
      <w:bookmarkEnd w:id="43"/>
    </w:p>
    <w:p w14:paraId="6D23DC4C">
      <w:pPr>
        <w:keepNext w:val="0"/>
        <w:keepLines w:val="0"/>
        <w:pageBreakBefore w:val="0"/>
        <w:widowControl w:val="0"/>
        <w:kinsoku/>
        <w:wordWrap/>
        <w:overflowPunct/>
        <w:topLinePunct w:val="0"/>
        <w:autoSpaceDE/>
        <w:autoSpaceDN/>
        <w:bidi w:val="0"/>
        <w:adjustRightInd/>
        <w:snapToGrid/>
        <w:ind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第五十八条</w:t>
      </w:r>
      <w:r>
        <w:rPr>
          <w:rFonts w:hint="eastAsia" w:ascii="仿宋" w:hAnsi="仿宋" w:eastAsia="仿宋" w:cs="仿宋"/>
          <w:b w:val="0"/>
          <w:bCs/>
          <w:color w:val="auto"/>
          <w:sz w:val="24"/>
          <w:szCs w:val="24"/>
          <w:u w:val="none" w:color="auto"/>
          <w:lang w:val="en-US" w:eastAsia="zh-CN"/>
        </w:rPr>
        <w:t xml:space="preserve"> 收入是指民间非营利组织开展业务活动取得的、导致本期净资产增加的经济利益或者服务潜力的流入。收入应当按其来源分为捐赠收入、会费收入、提供服务收入、政府补助收入、投资收益、商品销售收入等主要业务活动收入和其他收入等。</w:t>
      </w:r>
    </w:p>
    <w:p w14:paraId="74CA7735">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（一）捐赠收入是指民间非营利组织接受其他单位或者个人捐赠所取得的收入。</w:t>
      </w:r>
    </w:p>
    <w:p w14:paraId="6297F857">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（二）会费收入是指民间非营利组织根据章程等的规定向会员收取的会费。</w:t>
      </w:r>
    </w:p>
    <w:p w14:paraId="64EFE69C">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（三）提供服务收入是指民间非营利组织根据章程等的规定向其服务对象提供服务取得的收入，包括学费收入、医疗费收入、培训收入等。</w:t>
      </w:r>
    </w:p>
    <w:p w14:paraId="78603490">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（四）政府补助收入是指民间非营利组织接受政府拨款或者政府机构给予的补助而取得的收入。</w:t>
      </w:r>
    </w:p>
    <w:p w14:paraId="70DEB7D5">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（五）商品销售收入是指民间非营利组织销售商品（如出版物、药品等）等所形成的收入。</w:t>
      </w:r>
    </w:p>
    <w:p w14:paraId="46B84496">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（六）投资收益是指民间非营利组织因对外投资取得的投资净损益。</w:t>
      </w:r>
    </w:p>
    <w:p w14:paraId="7ED9FBE7">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民间非营利组织如果有除上述捐赠收入、会费收入、提供服务收入、政府补助收入、商品销售收入、投资收益之外的其他主要业务活动收入，也应当单独核算。</w:t>
      </w:r>
    </w:p>
    <w:p w14:paraId="6C3670EC">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（七）其他收入，是指除上述主要业务活动收入以外的其他收入，如固定资产处置净收入、无形资产处置净收入等。</w:t>
      </w:r>
    </w:p>
    <w:p w14:paraId="506A5A5A">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对于民间非营利组织接受的劳务捐赠，不予确认，但应当在会计报表附注中作相关披露。</w:t>
      </w:r>
    </w:p>
    <w:p w14:paraId="2E195C5C">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第五十九条</w:t>
      </w:r>
      <w:r>
        <w:rPr>
          <w:rFonts w:hint="eastAsia" w:ascii="仿宋" w:hAnsi="仿宋" w:eastAsia="仿宋" w:cs="仿宋"/>
          <w:b w:val="0"/>
          <w:bCs/>
          <w:color w:val="auto"/>
          <w:sz w:val="24"/>
          <w:szCs w:val="24"/>
          <w:u w:val="none" w:color="auto"/>
          <w:lang w:val="en-US" w:eastAsia="zh-CN"/>
        </w:rPr>
        <w:t xml:space="preserve"> 民间非营利组织在确认收入时，应当区分交换交易所形成的收入和非交换交易所形成的收入。</w:t>
      </w:r>
    </w:p>
    <w:p w14:paraId="441DCBBE">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交换交易是指按照等价交换原则所从事的交易，即当某一主体取得资产、获得服务或者解除债务时，需要向交易对方支付等值或者大致等值的现金，或者提供等值或者大致等值的货物、服务等的交易。如按照等价交换原则销售商品、提供劳务等均属于交换交易。</w:t>
      </w:r>
    </w:p>
    <w:p w14:paraId="554EDBCF">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对于因交换交易所形成的商品销售收入，应当在下列条件下同时满足时予以确认：</w:t>
      </w:r>
    </w:p>
    <w:p w14:paraId="7FF2D768">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1.已将商品所有权上的主要风险和报酬转移给购货方；</w:t>
      </w:r>
    </w:p>
    <w:p w14:paraId="1A564E52">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2.既没有保留通常与所有权相联系的继续管理权，也没有对已售出的商品实施控制；</w:t>
      </w:r>
    </w:p>
    <w:p w14:paraId="18957983">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3.与交易相关的经济利益能够流入民间非营利组织；</w:t>
      </w:r>
    </w:p>
    <w:p w14:paraId="4110E2E2">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4.相关的收入和成本能够可靠地计量。</w:t>
      </w:r>
    </w:p>
    <w:p w14:paraId="20E79C92">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对于因交换交易所形成的提供劳务收入，应当按以下规定予以确认：</w:t>
      </w:r>
    </w:p>
    <w:p w14:paraId="2728984D">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1.在同一会计年度内开始并完成的劳务，应当在完成劳务时确认收入；</w:t>
      </w:r>
    </w:p>
    <w:p w14:paraId="7A0C8EEB">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2.如果劳务的开始和完成分属不同的会计年度，可以按完工进度或完成的工作量确认收入。</w:t>
      </w:r>
    </w:p>
    <w:p w14:paraId="055ED959">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对于因交换交易所形成的因让渡资产使用权而发生的收入应当在下列条件同时满足时予以确认：</w:t>
      </w:r>
    </w:p>
    <w:p w14:paraId="2220B86D">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1.与交易相关的经济利益能够流入民间非营利组织；</w:t>
      </w:r>
    </w:p>
    <w:p w14:paraId="7A37A820">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2.收入的金额能够可靠地计量。</w:t>
      </w:r>
    </w:p>
    <w:p w14:paraId="17472E9E">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非交换交易是指除交换交易之外的交易。在非交换交易中，某一主体取得资产、获得服务或者解除债务时，不必向交易对方支付等值或者大致等值的现金，或者提供等值或者大致等值的货物、服务等；或者某一主体在对外提供货物、服务等时，没有收到等值或者大致等值的现金、货物等。如捐赠、政府补助等均属于非交换交易。</w:t>
      </w:r>
    </w:p>
    <w:p w14:paraId="02D521D1">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对于因非交换交易所形成的收入，应当在同时满足下列条件时予以确认：</w:t>
      </w:r>
    </w:p>
    <w:p w14:paraId="0C9BE5B7">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1.与交易相关的含有经济利益或者服务潜力的资源能够流入民间非营利组织并为其所控制，或者相关的债务能够得到解除；</w:t>
      </w:r>
    </w:p>
    <w:p w14:paraId="7C682D7D">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2.交易能够引起净资产的增加；</w:t>
      </w:r>
    </w:p>
    <w:p w14:paraId="7A6815E8">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3.收入的金额能够可靠地计量。</w:t>
      </w:r>
    </w:p>
    <w:p w14:paraId="66FD74D5">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般情况下，对于无条件的捐赠或政府补助，应当在捐赠或政府补助收到时确认收入；对于附条件的捐赠或政府补助，应当在取得捐赠资产或政府补助资产控制权时确认收入，但当民间非营利组织存在需要偿还全部或部分捐赠资产（或者政府补助资产）或者相应金额的现时义务时，应当根据需要偿还的金额同时确认一项负债和费用。</w:t>
      </w:r>
    </w:p>
    <w:p w14:paraId="5EBD11C3">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第六十条</w:t>
      </w:r>
      <w:r>
        <w:rPr>
          <w:rFonts w:hint="eastAsia" w:ascii="仿宋" w:hAnsi="仿宋" w:eastAsia="仿宋" w:cs="仿宋"/>
          <w:b w:val="0"/>
          <w:bCs/>
          <w:color w:val="auto"/>
          <w:sz w:val="24"/>
          <w:szCs w:val="24"/>
          <w:u w:val="none" w:color="auto"/>
          <w:lang w:val="en-US" w:eastAsia="zh-CN"/>
        </w:rPr>
        <w:t xml:space="preserve"> 民间非营利组织对于各项收入应当按是否存在限定区分为非限定性收入和限定性收入进行核算。</w:t>
      </w:r>
    </w:p>
    <w:p w14:paraId="25D3BD02">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如果资产提供者对资产的使用设置了时间限制或者（和）用途限制，则所确认的相关收入为限定性收入；除此之外的其他收入，为非限定性收入。</w:t>
      </w:r>
    </w:p>
    <w:p w14:paraId="68A125C3">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民间非营利组织的会费收入、提供服务收入、商品销售收入和投资收益等一般为非限定性收入，除非相关资产提供者对资产的使用设置了限制。民间非营利组织的捐赠收入和政府补助收入，应当视相关资产提供者对资产的使用是否设置了限制，分别限定性收入和非限定性收入进行核算。</w:t>
      </w:r>
    </w:p>
    <w:p w14:paraId="541B9983">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第六十一条</w:t>
      </w:r>
      <w:r>
        <w:rPr>
          <w:rFonts w:hint="eastAsia" w:ascii="仿宋" w:hAnsi="仿宋" w:eastAsia="仿宋" w:cs="仿宋"/>
          <w:b w:val="0"/>
          <w:bCs/>
          <w:color w:val="auto"/>
          <w:sz w:val="24"/>
          <w:szCs w:val="24"/>
          <w:u w:val="none" w:color="auto"/>
          <w:lang w:val="en-US" w:eastAsia="zh-CN"/>
        </w:rPr>
        <w:t xml:space="preserve"> 期末，民间非营利组织应当将本期限定性收入和非限定性收入分别结转至净资产项下的限定性净资产和非限定性净资产。</w:t>
      </w:r>
    </w:p>
    <w:p w14:paraId="0572196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仿宋" w:hAnsi="仿宋" w:eastAsia="仿宋" w:cs="仿宋"/>
          <w:b/>
          <w:bCs w:val="0"/>
          <w:color w:val="auto"/>
          <w:sz w:val="24"/>
          <w:szCs w:val="24"/>
          <w:u w:val="none" w:color="auto"/>
          <w:lang w:val="en-US" w:eastAsia="zh-CN"/>
        </w:rPr>
      </w:pPr>
      <w:bookmarkStart w:id="44" w:name="_Toc1357015206"/>
      <w:bookmarkStart w:id="45" w:name="_Toc2088489127"/>
      <w:r>
        <w:rPr>
          <w:rFonts w:hint="eastAsia" w:ascii="黑体" w:hAnsi="黑体" w:eastAsia="黑体" w:cs="黑体"/>
          <w:b/>
          <w:bCs w:val="0"/>
          <w:color w:val="auto"/>
          <w:sz w:val="24"/>
          <w:szCs w:val="24"/>
          <w:u w:val="none" w:color="auto"/>
          <w:lang w:val="en-US" w:eastAsia="zh-CN"/>
        </w:rPr>
        <w:t>第六章 费用</w:t>
      </w:r>
      <w:bookmarkEnd w:id="44"/>
      <w:bookmarkEnd w:id="45"/>
    </w:p>
    <w:p w14:paraId="787448D1">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第六十二条</w:t>
      </w:r>
      <w:r>
        <w:rPr>
          <w:rFonts w:hint="eastAsia" w:ascii="仿宋" w:hAnsi="仿宋" w:eastAsia="仿宋" w:cs="仿宋"/>
          <w:b w:val="0"/>
          <w:bCs/>
          <w:color w:val="auto"/>
          <w:sz w:val="24"/>
          <w:szCs w:val="24"/>
          <w:u w:val="none" w:color="auto"/>
          <w:lang w:val="en-US" w:eastAsia="zh-CN"/>
        </w:rPr>
        <w:t xml:space="preserve"> 费用是指民间非营利组织为开展业务活动所发生的、导致本期净资产减少的经济利益或者服务潜力的流出。费用应当按照其功能分为业务活动成本、管理费用、筹资费用和其他费用等。</w:t>
      </w:r>
    </w:p>
    <w:p w14:paraId="7777F8EA">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业务活动成本，是指民间非营利组织为了实现其业务活动目标、开展其项目活动或者提供服务所发生的费用。如果民间非营利组织从事的项目、提供的服务或者开展的业务比较单一，可以将相关费用全部归集在“业务活动成本”项目下进行核算和列报；如果民间非营利组织从事的项目、提供的服务或者开展的业务种类较多，民间非营利组织应当在“业务活动成本”项目下分别项目、服务或者业务大类进行核算和列报。</w:t>
      </w:r>
    </w:p>
    <w:p w14:paraId="5BEB1DC4">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管理费用，是指民间非营利组织为组织和管理其业务活动所发生的各项费用，包括民间非营利组织董事会（或者理事会或者类似权力机构）经费和行政管理人员的工资、奖金、福利费、住房公积金、住房补贴、社会保障费、离退休人员工资及补助，以及办公费、水电费、邮电费、物业管理费、差旅费、折旧费、修理费、租赁费、无形资产摊销费、资产盘亏损失、资产减值损失、因预计负债所产生的损失、聘请中介机构费和应偿还的受赠资产等。其中，福利费应当依法根据民间非营利组织的管理权限，按照董事会、理事会或类似权力机构等的规定据实列支。</w:t>
      </w:r>
    </w:p>
    <w:p w14:paraId="65797A0B">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筹资费用，是指民间非营利组织为筹集业务活动所需资金而发生的费用，它包括民间非营利组织为了获得捐赠资产而发生的费用以及应当计入当期费用的借款费用、汇兑损失（减汇兑收益）等。民间非营利组织为了获得捐赠资产而发生的费用包括举办募款活动费、准备、印刷和发放募款宣传资料费以及其他与募款或者争取捐赠资产有关的费用。</w:t>
      </w:r>
    </w:p>
    <w:p w14:paraId="129767CD">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（四）其他费用，是指民间非营利组织发生的、无法归属到上述业务活动成本、管理费用或者筹资费用中的费用，包括固定资产处置净损失、无形资产处置净损失等。</w:t>
      </w:r>
    </w:p>
    <w:p w14:paraId="75568D87">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民间非营利组织的某些费用如果属于多项业务活动或者属于业务活动、管理活动和筹资活动等共同发生的，而且不能直接归属于某一类活动，应当将这些费用按照合理的方法在各项活动中进行分配。</w:t>
      </w:r>
    </w:p>
    <w:p w14:paraId="6C2573FC">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第六十三条</w:t>
      </w:r>
      <w:r>
        <w:rPr>
          <w:rFonts w:hint="eastAsia" w:ascii="仿宋" w:hAnsi="仿宋" w:eastAsia="仿宋" w:cs="仿宋"/>
          <w:b w:val="0"/>
          <w:bCs/>
          <w:color w:val="auto"/>
          <w:sz w:val="24"/>
          <w:szCs w:val="24"/>
          <w:u w:val="none" w:color="auto"/>
          <w:lang w:val="en-US" w:eastAsia="zh-CN"/>
        </w:rPr>
        <w:t xml:space="preserve"> 民间非营利组织发生的业务活动成本、管理费用、筹资费用和其他费用，应当在发生时按其发生额计入当期费用。</w:t>
      </w:r>
    </w:p>
    <w:p w14:paraId="1B1DAC8D">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第六十四条</w:t>
      </w:r>
      <w:r>
        <w:rPr>
          <w:rFonts w:hint="eastAsia" w:ascii="仿宋" w:hAnsi="仿宋" w:eastAsia="仿宋" w:cs="仿宋"/>
          <w:b w:val="0"/>
          <w:bCs/>
          <w:color w:val="auto"/>
          <w:sz w:val="24"/>
          <w:szCs w:val="24"/>
          <w:u w:val="none" w:color="auto"/>
          <w:lang w:val="en-US" w:eastAsia="zh-CN"/>
        </w:rPr>
        <w:t xml:space="preserve"> 期末，民间非营利组织应当将本期发生的各项费用结转至净资产项下的非限定性净资产，作为非限定性净资产的减项。</w:t>
      </w:r>
    </w:p>
    <w:p w14:paraId="638939A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黑体" w:hAnsi="黑体" w:eastAsia="黑体" w:cs="黑体"/>
          <w:b/>
          <w:bCs w:val="0"/>
          <w:color w:val="auto"/>
          <w:sz w:val="24"/>
          <w:szCs w:val="24"/>
          <w:u w:val="none" w:color="auto"/>
          <w:lang w:val="en-US" w:eastAsia="zh-CN"/>
        </w:rPr>
      </w:pPr>
      <w:bookmarkStart w:id="46" w:name="_Toc1172584600"/>
      <w:bookmarkStart w:id="47" w:name="_Toc304077952"/>
      <w:r>
        <w:rPr>
          <w:rFonts w:hint="eastAsia" w:ascii="黑体" w:hAnsi="黑体" w:eastAsia="黑体" w:cs="黑体"/>
          <w:b/>
          <w:bCs w:val="0"/>
          <w:color w:val="auto"/>
          <w:sz w:val="24"/>
          <w:szCs w:val="24"/>
          <w:u w:val="none" w:color="auto"/>
          <w:lang w:val="en-US" w:eastAsia="zh-CN"/>
        </w:rPr>
        <w:t>第七章 财务会计报告</w:t>
      </w:r>
      <w:bookmarkEnd w:id="46"/>
      <w:bookmarkEnd w:id="47"/>
    </w:p>
    <w:p w14:paraId="56B06844">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第六十五条</w:t>
      </w:r>
      <w:r>
        <w:rPr>
          <w:rFonts w:hint="eastAsia" w:ascii="仿宋" w:hAnsi="仿宋" w:eastAsia="仿宋" w:cs="仿宋"/>
          <w:b w:val="0"/>
          <w:bCs/>
          <w:color w:val="auto"/>
          <w:sz w:val="24"/>
          <w:szCs w:val="24"/>
          <w:u w:val="none" w:color="auto"/>
          <w:lang w:val="en-US" w:eastAsia="zh-CN"/>
        </w:rPr>
        <w:t xml:space="preserve"> 财务会计报告是反映民间非营利组织财务状况、业务活动情况和现金流量等的书面文件。</w:t>
      </w:r>
    </w:p>
    <w:p w14:paraId="4B2DDAC4">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第六十六条</w:t>
      </w:r>
      <w:r>
        <w:rPr>
          <w:rFonts w:hint="eastAsia" w:ascii="仿宋" w:hAnsi="仿宋" w:eastAsia="仿宋" w:cs="仿宋"/>
          <w:b w:val="0"/>
          <w:bCs/>
          <w:color w:val="auto"/>
          <w:sz w:val="24"/>
          <w:szCs w:val="24"/>
          <w:u w:val="none" w:color="auto"/>
          <w:lang w:val="en-US" w:eastAsia="zh-CN"/>
        </w:rPr>
        <w:t xml:space="preserve"> 财务会计报告分为年度财务会计报告和中期财务会计报告。以短于一个完整的会计年度的期间（如半年度、季度和月度）编制的财务会计报告称为中期财务会计报告。年度财务会计报告则是以整个会计年度为基础编制的财务会计报告。</w:t>
      </w:r>
    </w:p>
    <w:p w14:paraId="27AD8A1F">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第六十七条</w:t>
      </w:r>
      <w:r>
        <w:rPr>
          <w:rFonts w:hint="eastAsia" w:ascii="仿宋" w:hAnsi="仿宋" w:eastAsia="仿宋" w:cs="仿宋"/>
          <w:b w:val="0"/>
          <w:bCs/>
          <w:color w:val="auto"/>
          <w:sz w:val="24"/>
          <w:szCs w:val="24"/>
          <w:u w:val="none" w:color="auto"/>
          <w:lang w:val="en-US" w:eastAsia="zh-CN"/>
        </w:rPr>
        <w:t xml:space="preserve"> 财务会计报告由会计报表、会计报表附注和财务情况说明书组成。民间非营利组织对外提供的财务会计报告的内容、会计报表的种类和格式、会计报表附注应予披露的主要内容等，由本制度规定；民间非营利组织内部管理需要的会计报表由单位自行规定。</w:t>
      </w:r>
    </w:p>
    <w:p w14:paraId="4B90824E">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民间非营利组织在编制中期财务会计报告时，应当采用与年度会计报表相一致的确认与计量原则。中期财务会计报告的内容相对于年度财务会计报告而言可以适当简化，但仍应保证包括与理解中期期末财务状况和中期业务活动情况及其现金流量相关的重要财务信息。</w:t>
      </w:r>
    </w:p>
    <w:p w14:paraId="25F1CB00">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第六十八条</w:t>
      </w:r>
      <w:r>
        <w:rPr>
          <w:rFonts w:hint="eastAsia" w:ascii="仿宋" w:hAnsi="仿宋" w:eastAsia="仿宋" w:cs="仿宋"/>
          <w:b w:val="0"/>
          <w:bCs/>
          <w:color w:val="auto"/>
          <w:sz w:val="24"/>
          <w:szCs w:val="24"/>
          <w:u w:val="none" w:color="auto"/>
          <w:lang w:val="en-US" w:eastAsia="zh-CN"/>
        </w:rPr>
        <w:t xml:space="preserve"> 民间非营利组织采用的会计政策前后各期应当保持一致，不得随意变更，除非符合下列条件之一：</w:t>
      </w:r>
    </w:p>
    <w:p w14:paraId="0979BECD">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（一）法律或会计制度等行政法规、规章的要求；</w:t>
      </w:r>
    </w:p>
    <w:p w14:paraId="20DD057E">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（二）这种变更能够提供有关民间非营利组织财务状况、业务活动情况和现金流量等更可靠、更相关的会计信息。</w:t>
      </w:r>
    </w:p>
    <w:p w14:paraId="1004C98D">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民间非营利组织应当采用追溯调整法核算会计政策的变更，如果追溯调整法不可行，则应当采用未来适用法核算；如果相关法律或会计制度等另有规定，则应当按照相关规定进行核算。</w:t>
      </w:r>
    </w:p>
    <w:p w14:paraId="4D3DE187">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本制度中所称追溯调整法，是指对某项交易或者事项变更会计政策时，如同该交易或者事项初次发生时就开始采用新的会计政策，并以此对相关项目进行调整的方法。本制度所称未来适用法，是指对某项交易或者事项变更会计政策时，新的会计政策适用于变更当期及未来期间发生的交易或者事项的方法。</w:t>
      </w:r>
    </w:p>
    <w:p w14:paraId="2D70A30C">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第六十九条</w:t>
      </w:r>
      <w:r>
        <w:rPr>
          <w:rFonts w:hint="eastAsia" w:ascii="仿宋" w:hAnsi="仿宋" w:eastAsia="仿宋" w:cs="仿宋"/>
          <w:b w:val="0"/>
          <w:bCs/>
          <w:color w:val="auto"/>
          <w:sz w:val="24"/>
          <w:szCs w:val="24"/>
          <w:u w:val="none" w:color="auto"/>
          <w:lang w:val="en-US" w:eastAsia="zh-CN"/>
        </w:rPr>
        <w:t xml:space="preserve"> 资产负债表日至财务会计报告批准报出日之间发生的需要调整或说明的有利或不利事项，属于资产负债表日后事项。对于资产负债表日后事项，应当区分调整事项和非调整事项进行处理。</w:t>
      </w:r>
    </w:p>
    <w:p w14:paraId="0244EE41">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调整事项，是指资产负债表日后至财务会计报告批准报出日之间发生的，为资产负债表日已经存在的情况提供了新的或进一步证据，有助于对资产负债表日存在情况有关的金额作出重新估计的事项。民间非营利组织应当就调整事项，对资产负债表日所确认的相关资产、负债和净资产，以及资产负债表日所属期间的相关收入、费用等进行调整。</w:t>
      </w:r>
    </w:p>
    <w:p w14:paraId="122B1E76">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非调整事项，是指资产负债表日后至财务会计报告批准报出日之间才发生的，不影响资产负债表日的存在情况，但不加以说明将会影响财务会计报告使用者作出正确估计和决策的事项。民间非营利组织应当在会计报表附注中披露非调整事项的性质、内容，以及对财务状况和业务活动情况的影响。如无法估计其影响，应当说明理由。</w:t>
      </w:r>
    </w:p>
    <w:p w14:paraId="469CDA50">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第七十条</w:t>
      </w:r>
      <w:r>
        <w:rPr>
          <w:rFonts w:hint="eastAsia" w:ascii="仿宋" w:hAnsi="仿宋" w:eastAsia="仿宋" w:cs="仿宋"/>
          <w:b w:val="0"/>
          <w:bCs/>
          <w:color w:val="auto"/>
          <w:sz w:val="24"/>
          <w:szCs w:val="24"/>
          <w:u w:val="none" w:color="auto"/>
          <w:lang w:val="en-US" w:eastAsia="zh-CN"/>
        </w:rPr>
        <w:t xml:space="preserve"> 财务会计报告中的会计报表至少应当包括以下三张报表： </w:t>
      </w:r>
    </w:p>
    <w:p w14:paraId="5A9015E9">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（一）资产负债表；</w:t>
      </w:r>
    </w:p>
    <w:p w14:paraId="32E08FF8">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（二）业务活动表；</w:t>
      </w:r>
    </w:p>
    <w:p w14:paraId="2AA058D9">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（三）现金流量表。</w:t>
      </w:r>
    </w:p>
    <w:p w14:paraId="22E4F374">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第七十一条</w:t>
      </w:r>
      <w:r>
        <w:rPr>
          <w:rFonts w:hint="eastAsia" w:ascii="仿宋" w:hAnsi="仿宋" w:eastAsia="仿宋" w:cs="仿宋"/>
          <w:b w:val="0"/>
          <w:bCs/>
          <w:color w:val="auto"/>
          <w:sz w:val="24"/>
          <w:szCs w:val="24"/>
          <w:u w:val="none" w:color="auto"/>
          <w:lang w:val="en-US" w:eastAsia="zh-CN"/>
        </w:rPr>
        <w:t xml:space="preserve"> 会计报表附注至少应当包括下列内容：</w:t>
      </w:r>
    </w:p>
    <w:p w14:paraId="345A7904">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（一）重要会计政策及其变更情况的说明；</w:t>
      </w:r>
    </w:p>
    <w:p w14:paraId="73711C1F">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（二）董事会（或者理事会或者类似权力机构）成员和员工的数量、变动情况以及获得的薪金等报酬情况的说明；</w:t>
      </w:r>
    </w:p>
    <w:p w14:paraId="1C6FC28D">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（三）会计报表重要项目及其增减变动情况的说明；</w:t>
      </w:r>
    </w:p>
    <w:p w14:paraId="085771E1">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（四）资产提供者设置了时间或用途限制的相关资产情况的说明；</w:t>
      </w:r>
    </w:p>
    <w:p w14:paraId="4B4C7404">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（五）受托代理交易情况的说明，包括受托代理资产的构成、计价基础和依据、用途等；</w:t>
      </w:r>
    </w:p>
    <w:p w14:paraId="444987E4">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（六）重大资产减值情况的说明；</w:t>
      </w:r>
    </w:p>
    <w:p w14:paraId="63677039">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（七）公允价值无法可靠取得的受赠资产和其他资产的名称、数量、来源和用途等情况的说明；</w:t>
      </w:r>
    </w:p>
    <w:p w14:paraId="5A9493B1">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（八）对外承诺和或有事项情况的说明；</w:t>
      </w:r>
    </w:p>
    <w:p w14:paraId="2082A346">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（九）接受劳务捐赠情况的说明；</w:t>
      </w:r>
    </w:p>
    <w:p w14:paraId="7757F7D8">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（十）资产负债表日后非调整事项的说明；</w:t>
      </w:r>
    </w:p>
    <w:p w14:paraId="5B5CB21B">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（十一）有助于理解和分析会计报表需要说明的其他事项。</w:t>
      </w:r>
    </w:p>
    <w:p w14:paraId="77813846">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第七十二条</w:t>
      </w:r>
      <w:r>
        <w:rPr>
          <w:rFonts w:hint="eastAsia" w:ascii="仿宋" w:hAnsi="仿宋" w:eastAsia="仿宋" w:cs="仿宋"/>
          <w:b w:val="0"/>
          <w:bCs/>
          <w:color w:val="auto"/>
          <w:sz w:val="24"/>
          <w:szCs w:val="24"/>
          <w:u w:val="none" w:color="auto"/>
          <w:lang w:val="en-US" w:eastAsia="zh-CN"/>
        </w:rPr>
        <w:t xml:space="preserve"> 财务情况说明书至少应当对下列情况作出说明：</w:t>
      </w:r>
    </w:p>
    <w:p w14:paraId="616EA215">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（一）民间非营利组织的宗旨、组织结构以及人员配备等情况；</w:t>
      </w:r>
    </w:p>
    <w:p w14:paraId="032E07DE">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（二）民间非营利组织业务活动基本情况，年度计划和预算完成情况，产生差异的原因分析，下一会计期间业务活动计划和预算等；</w:t>
      </w:r>
    </w:p>
    <w:p w14:paraId="6265DB28">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（三）对民间非营利组织业务活动有重大影响的其他事项。</w:t>
      </w:r>
    </w:p>
    <w:p w14:paraId="61377EE1">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第七十三条</w:t>
      </w:r>
      <w:r>
        <w:rPr>
          <w:rFonts w:hint="eastAsia" w:ascii="仿宋" w:hAnsi="仿宋" w:eastAsia="仿宋" w:cs="仿宋"/>
          <w:b w:val="0"/>
          <w:bCs/>
          <w:color w:val="auto"/>
          <w:sz w:val="24"/>
          <w:szCs w:val="24"/>
          <w:u w:val="none" w:color="auto"/>
          <w:lang w:val="en-US" w:eastAsia="zh-CN"/>
        </w:rPr>
        <w:t xml:space="preserve"> 民间非营利组织对外投资，而且占对被投资单位资本总额50％以上（不含50％），或者虽然占该单位资本总额不足50％但具有实质上的控制权的，或者对被投资单位具有控制权的，应当编制合并会计报表。</w:t>
      </w:r>
    </w:p>
    <w:p w14:paraId="044782A5">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第七十四条</w:t>
      </w:r>
      <w:r>
        <w:rPr>
          <w:rFonts w:hint="eastAsia" w:ascii="仿宋" w:hAnsi="仿宋" w:eastAsia="仿宋" w:cs="仿宋"/>
          <w:b w:val="0"/>
          <w:bCs/>
          <w:color w:val="auto"/>
          <w:sz w:val="24"/>
          <w:szCs w:val="24"/>
          <w:u w:val="none" w:color="auto"/>
          <w:lang w:val="en-US" w:eastAsia="zh-CN"/>
        </w:rPr>
        <w:t xml:space="preserve"> 民间非营利组织的年度财务会计报告至少应当于年度终了后4个月内对外提供。如果民间非营利组织被要求对外提供中期财务会计报告的，应当在规定的时间内对外提供。</w:t>
      </w:r>
    </w:p>
    <w:p w14:paraId="4DFC0FE3">
      <w:pPr>
        <w:keepNext w:val="0"/>
        <w:keepLines w:val="0"/>
        <w:pageBreakBefore w:val="0"/>
        <w:widowControl w:val="0"/>
        <w:kinsoku/>
        <w:wordWrap/>
        <w:overflowPunct/>
        <w:topLinePunct w:val="0"/>
        <w:autoSpaceDE/>
        <w:autoSpaceDN/>
        <w:bidi w:val="0"/>
        <w:adjustRightInd/>
        <w:snapToGrid/>
        <w:ind w:left="0" w:leftChars="0" w:firstLine="480"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会计报表的填列，以人民币“元”为金额单位，“元”以下填至“分”。</w:t>
      </w:r>
    </w:p>
    <w:p w14:paraId="640C68EE">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第七十五条</w:t>
      </w:r>
      <w:r>
        <w:rPr>
          <w:rFonts w:hint="eastAsia" w:ascii="仿宋" w:hAnsi="仿宋" w:eastAsia="仿宋" w:cs="仿宋"/>
          <w:b w:val="0"/>
          <w:bCs/>
          <w:color w:val="auto"/>
          <w:sz w:val="24"/>
          <w:szCs w:val="24"/>
          <w:u w:val="none" w:color="auto"/>
          <w:lang w:val="en-US" w:eastAsia="zh-CN"/>
        </w:rPr>
        <w:t xml:space="preserve"> 民间非营利组织对外提供的财务会计报告应当依次编定页数，加具封面，装订成册，加盖公章。封面上应当注明：组织名称、组织登记证号、组织形式、地址、报表所属年度或者中期、报出日期，并由单位负责人和主管会计工作的负责人、会计机构负责人（会计主管人员）签名并盖章；设置总会计师的单位，还应当由总会计师签名并盖章。</w:t>
      </w:r>
    </w:p>
    <w:p w14:paraId="12620A1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黑体" w:hAnsi="黑体" w:eastAsia="黑体" w:cs="黑体"/>
          <w:b/>
          <w:bCs w:val="0"/>
          <w:color w:val="auto"/>
          <w:sz w:val="24"/>
          <w:szCs w:val="24"/>
          <w:u w:val="none" w:color="auto"/>
          <w:lang w:val="en-US" w:eastAsia="zh-CN"/>
        </w:rPr>
      </w:pPr>
      <w:bookmarkStart w:id="48" w:name="_Toc2144754804"/>
      <w:bookmarkStart w:id="49" w:name="_Toc1750098159"/>
      <w:r>
        <w:rPr>
          <w:rFonts w:hint="eastAsia" w:ascii="黑体" w:hAnsi="黑体" w:eastAsia="黑体" w:cs="黑体"/>
          <w:b/>
          <w:bCs w:val="0"/>
          <w:color w:val="auto"/>
          <w:sz w:val="24"/>
          <w:szCs w:val="24"/>
          <w:u w:val="none" w:color="auto"/>
          <w:lang w:val="en-US" w:eastAsia="zh-CN"/>
        </w:rPr>
        <w:t>第八章 附则</w:t>
      </w:r>
      <w:bookmarkEnd w:id="48"/>
      <w:bookmarkEnd w:id="49"/>
    </w:p>
    <w:p w14:paraId="79E6BFA9">
      <w:pPr>
        <w:keepNext w:val="0"/>
        <w:keepLines w:val="0"/>
        <w:pageBreakBefore w:val="0"/>
        <w:widowControl w:val="0"/>
        <w:kinsoku/>
        <w:wordWrap/>
        <w:overflowPunct/>
        <w:topLinePunct w:val="0"/>
        <w:autoSpaceDE/>
        <w:autoSpaceDN/>
        <w:bidi w:val="0"/>
        <w:adjustRightInd/>
        <w:snapToGrid/>
        <w:ind w:left="0" w:leftChars="0" w:firstLine="482" w:firstLineChars="200"/>
        <w:jc w:val="left"/>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第七十六条</w:t>
      </w:r>
      <w:r>
        <w:rPr>
          <w:rFonts w:hint="eastAsia" w:ascii="仿宋" w:hAnsi="仿宋" w:eastAsia="仿宋" w:cs="仿宋"/>
          <w:b w:val="0"/>
          <w:bCs/>
          <w:color w:val="auto"/>
          <w:sz w:val="24"/>
          <w:szCs w:val="24"/>
          <w:u w:val="none" w:color="auto"/>
          <w:lang w:val="en-US" w:eastAsia="zh-CN"/>
        </w:rPr>
        <w:t xml:space="preserve"> 本制度自2005年1月1日起施行。</w:t>
      </w:r>
    </w:p>
    <w:p w14:paraId="29E6E78B">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07EF44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val="0"/>
          <w:i w:val="0"/>
          <w:iCs w:val="0"/>
          <w:caps w:val="0"/>
          <w:color w:val="auto"/>
          <w:spacing w:val="0"/>
          <w:sz w:val="36"/>
          <w:szCs w:val="36"/>
        </w:rPr>
      </w:pPr>
      <w:r>
        <w:rPr>
          <w:rStyle w:val="14"/>
          <w:rFonts w:hint="eastAsia" w:ascii="宋体" w:hAnsi="宋体" w:eastAsia="宋体" w:cs="宋体"/>
          <w:i w:val="0"/>
          <w:iCs w:val="0"/>
          <w:caps w:val="0"/>
          <w:color w:val="auto"/>
          <w:spacing w:val="0"/>
          <w:sz w:val="36"/>
          <w:szCs w:val="36"/>
          <w:shd w:val="clear" w:color="auto" w:fill="FFFFFF"/>
        </w:rPr>
        <w:br w:type="page"/>
      </w:r>
      <w:bookmarkStart w:id="50" w:name="_Toc32610"/>
      <w:bookmarkStart w:id="51" w:name="_Toc30186"/>
      <w:r>
        <w:rPr>
          <w:rStyle w:val="14"/>
          <w:rFonts w:hint="eastAsia" w:ascii="宋体" w:hAnsi="宋体" w:eastAsia="宋体" w:cs="宋体"/>
          <w:b/>
          <w:bCs w:val="0"/>
          <w:i w:val="0"/>
          <w:iCs w:val="0"/>
          <w:caps w:val="0"/>
          <w:color w:val="auto"/>
          <w:spacing w:val="0"/>
          <w:sz w:val="36"/>
          <w:szCs w:val="36"/>
          <w:shd w:val="clear" w:color="auto" w:fill="FFFFFF"/>
        </w:rPr>
        <w:t>教育系统内部审计工作规定</w:t>
      </w:r>
      <w:bookmarkEnd w:id="50"/>
      <w:bookmarkEnd w:id="51"/>
    </w:p>
    <w:p w14:paraId="029613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第一章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总则</w:t>
      </w:r>
    </w:p>
    <w:p w14:paraId="617BA6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加强教育系统内部审计工作，提升内部审计工作质量，充分发挥内部审计作用，推动教育事业科学发展，根据《中华人民共和国教育法》《中华人民共和国审计法》《中华人民共和国审计法实施条例》《审计署关于内部审计工作的规定》及其他有关法律法规，制定本规定。</w:t>
      </w:r>
    </w:p>
    <w:p w14:paraId="2923E5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依法属于审计机关审计监督对象的各级教育行政部门、学校和其他教育事业单位、企业等（以下简称单位）内部审计工作适用本规定。</w:t>
      </w:r>
    </w:p>
    <w:p w14:paraId="6FFD10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本规定所称内部审计，是指对本单位及所属单位财政财务收支、经济活动、内部控制、风险管理等实施独立、客观的监督、评价和建议，以促进单位完善治理、实现目标的活动。</w:t>
      </w:r>
    </w:p>
    <w:p w14:paraId="2A9083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单位应当依照有关法律法规、本规定和内部审计职业规范，结合本单位实际情况，建立健全内部审计制度，明确内部审计工作的领导体制、职责权限、工作机构、人员配备、经费保障、审计结果运用和责任追究等。</w:t>
      </w:r>
    </w:p>
    <w:p w14:paraId="4732F4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单位应当加强本单位党组织对内部审计工作的领导，健全党领导相关工作的体制机制。</w:t>
      </w:r>
    </w:p>
    <w:p w14:paraId="1436B1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教育系统内部审计工作应当接受国家审计机关的业务指导和监督。</w:t>
      </w:r>
    </w:p>
    <w:p w14:paraId="795ABE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第二章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内部审计机构和人员</w:t>
      </w:r>
    </w:p>
    <w:p w14:paraId="6C51FA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单位应当根据国家编制管理相关规定和管理需要，设置独立的机构或明确相关内设机构作为内部审计机构，履行内部审计职责。</w:t>
      </w:r>
    </w:p>
    <w:p w14:paraId="3C3B92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内部审计机构应当在本单位主要负责人的直接领导下开展内部审计工作，向其负责并报告工作。</w:t>
      </w:r>
    </w:p>
    <w:p w14:paraId="514139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单位可以根据工作需要成立审计委员会，加强党对审计工作的领导，负责部署内部审计工作，审议年度审计工作报告，研究制定内部审计改革方案、重大政策和发展战略，审议决策内部审计重大事项等。</w:t>
      </w:r>
    </w:p>
    <w:p w14:paraId="0CFBC8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单位可以根据工作需要建立总审计师制度。总审计师协助主要负责人管理内部审计工作。</w:t>
      </w:r>
    </w:p>
    <w:p w14:paraId="0DDF0E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单位应当保证内部审计工作所需人员编制，严格内部审计人员录用标准，合理配备具有审计、财务、经济、法律、管理、工程、信息技术等专业知识的内部审计人员。总审计师、内部审计机构负责人应当具备审计、财务、经济、法律、管理等专业背景或工作经历。</w:t>
      </w:r>
    </w:p>
    <w:p w14:paraId="46E4D0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单位应当根据内部审计工作特点，完善内部审计人员考核评价制度和专业技术岗位评聘制度，保障内部审计人员享有相应的晋升、交流、任职、薪酬及相关待遇。</w:t>
      </w:r>
    </w:p>
    <w:p w14:paraId="5B170C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单位应当支持和保障内部审计人员通过参加业务培训、考取职业资格、以审代训等多种途径接受继续教育，提高专业胜任能力。</w:t>
      </w:r>
    </w:p>
    <w:p w14:paraId="09E6E4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内部审计机构的变动和总审计师、内部审计机构负责人的任免或调动，应当向上一级内部审计机构备案。</w:t>
      </w:r>
    </w:p>
    <w:p w14:paraId="2C6B96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内部审计机构和内部审计人员依法独立履行职责，任何单位和个人不得干涉和打击报复。</w:t>
      </w:r>
    </w:p>
    <w:p w14:paraId="2C5550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内部审计机构履行内部审计职责所需经费，应当列入本单位预算。</w:t>
      </w:r>
    </w:p>
    <w:p w14:paraId="6F0AE6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内部审计人员应当严格遵守有关法律法规和内部审计职业规范，独立、客观、公正地履行职责，保守工作秘密。</w:t>
      </w:r>
    </w:p>
    <w:p w14:paraId="0F7702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内部审计机构和内部审计人员不得参与可能影响独立、客观履行审计职责的工作，不得参与被审计单位业务活动的决策和执行。</w:t>
      </w:r>
    </w:p>
    <w:p w14:paraId="43841B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在不违反国家保密规定的情况下，内部审计机构可以根据工作需要向社会中介机构购买审计服务。内部审计机构应当对中介机构开展的受托业务进行指导、监督、检查和评价，并对采用的审计结果负责。</w:t>
      </w:r>
    </w:p>
    <w:p w14:paraId="5A1FFF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单位应当对认真履职、成绩显著的内部审计人员予以表彰。</w:t>
      </w:r>
    </w:p>
    <w:p w14:paraId="4CE12D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第三章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内部审计职责权限</w:t>
      </w:r>
    </w:p>
    <w:p w14:paraId="1DDDEA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内部审计机构应当按照国家有关规定和本单位的要求，对本单位及所属单位以下事项进行审计：</w:t>
      </w:r>
    </w:p>
    <w:p w14:paraId="589011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（一）贯彻落实国家重大政策措施情况；</w:t>
      </w:r>
    </w:p>
    <w:p w14:paraId="00F4B1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（二）发展规划、战略决策、重大措施和年度业务计划执行情况；</w:t>
      </w:r>
    </w:p>
    <w:p w14:paraId="3DEE2F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（三）财政财务收支和预算管理情况；</w:t>
      </w:r>
    </w:p>
    <w:p w14:paraId="5944DA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（四）固定资产投资项目情况；</w:t>
      </w:r>
    </w:p>
    <w:p w14:paraId="36E631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（五）内部控制及风险管理情况；</w:t>
      </w:r>
    </w:p>
    <w:p w14:paraId="496074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（六）资金、资产、资源的管理和效益情况；</w:t>
      </w:r>
    </w:p>
    <w:p w14:paraId="637ED6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（七）办学、科研、后勤保障等主要业务活动的管理和效益情况；</w:t>
      </w:r>
    </w:p>
    <w:p w14:paraId="1B2855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（八）本单位管理的领导人员履行经济责任情况；</w:t>
      </w:r>
    </w:p>
    <w:p w14:paraId="7AD970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（九）自然资源资产管理和生态环境保护责任的履行情况；</w:t>
      </w:r>
    </w:p>
    <w:p w14:paraId="49DD23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（十）境外机构、境外资产和境外经济活动情况；</w:t>
      </w:r>
    </w:p>
    <w:p w14:paraId="1D3F0B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（十一）国家有关规定和本单位要求办理的其他事项。</w:t>
      </w:r>
    </w:p>
    <w:p w14:paraId="0FF54A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内部审计机构应当协助本单位主要负责人督促落实审计发现问题的整改工作。</w:t>
      </w:r>
    </w:p>
    <w:p w14:paraId="4D7335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教育部负责指导和监督全国教育系统内部审计工作。地方各级教育行政部门负责指导和监督本行政区域内教育系统内部审计工作。</w:t>
      </w:r>
    </w:p>
    <w:p w14:paraId="5872F4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教育行政部门指导和监督内部审计工作的主要职责是：</w:t>
      </w:r>
    </w:p>
    <w:p w14:paraId="4147F3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（一）制定内部审计规章制度；</w:t>
      </w:r>
    </w:p>
    <w:p w14:paraId="5BDCF8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（二）督促建立健全内部审计制度；</w:t>
      </w:r>
    </w:p>
    <w:p w14:paraId="404FF0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（三）指导开展内部审计工作，突出审计重点；</w:t>
      </w:r>
    </w:p>
    <w:p w14:paraId="565E14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（四）监督内部审计职责履行情况，检查内部审计业务质量；</w:t>
      </w:r>
    </w:p>
    <w:p w14:paraId="31DE6E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（五）开展业务培训、组织内部审计工作交流研讨；</w:t>
      </w:r>
    </w:p>
    <w:p w14:paraId="599305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（六）指导教育系统内部审计自律组织开展工作；</w:t>
      </w:r>
    </w:p>
    <w:p w14:paraId="30FAD2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（七）维护内部审计机构和内部审计人员的合法权益；</w:t>
      </w:r>
    </w:p>
    <w:p w14:paraId="175159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规定的其他职责。</w:t>
      </w:r>
    </w:p>
    <w:p w14:paraId="2B374F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内部审计机构应当对所属单位内部审计工作进行管理、指导和监督。</w:t>
      </w:r>
    </w:p>
    <w:p w14:paraId="38F5D8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内部审计机构具有下列权限：</w:t>
      </w:r>
    </w:p>
    <w:p w14:paraId="579F32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（一）要求被审计单位按时报送审计所需的有关资料、相关电子数据，以及必要的计算机技术文档；</w:t>
      </w:r>
    </w:p>
    <w:p w14:paraId="03D59A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（二）参加或列席有关会议，召开与审计事项有关的会议；</w:t>
      </w:r>
    </w:p>
    <w:p w14:paraId="7EB721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（三）参与研究有关规章制度，提出制定内部审计规章制度的建议；</w:t>
      </w:r>
    </w:p>
    <w:p w14:paraId="102F60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（四）检查有关财政财务收支、经济活动、内部控制、风险管理的资料、文件和现场勘察实物；</w:t>
      </w:r>
    </w:p>
    <w:p w14:paraId="1AE4FB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（五）检查有关计算机系统及其电子数据和资料；</w:t>
      </w:r>
    </w:p>
    <w:p w14:paraId="3CA636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（六）就审计事项中的有关问题，向有关单位和个人开展调查和询问，取得相关证明材料；</w:t>
      </w:r>
    </w:p>
    <w:p w14:paraId="3805E8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（七）对正在进行的严重违法违规、严重损失浪费行为及时向单位主要负责人报告，经同意作出临时制止决定；</w:t>
      </w:r>
    </w:p>
    <w:p w14:paraId="0559F5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（八）对可能被转移、隐匿、篡改、毁弃的会计凭证、会计账簿、会计报表以及与经济活动有关的资料，经本单位主要负责人批准，有权予以暂时封存；</w:t>
      </w:r>
    </w:p>
    <w:p w14:paraId="7B5249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（九）提出纠正、处理违法违规行为的意见和改进管理、提高绩效的建议；</w:t>
      </w:r>
    </w:p>
    <w:p w14:paraId="536A3B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（十）对违法违规和造成损失浪费的被审计单位和人员，给予通报批评或者提出追究责任的建议；</w:t>
      </w:r>
    </w:p>
    <w:p w14:paraId="40DFEB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（十一）对严格遵守财经法规、管理规范有效、贡献突出的被审计单位和个人，可以向单位党组织、主要负责人提出表彰建议。</w:t>
      </w:r>
    </w:p>
    <w:p w14:paraId="12703C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第四章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内部审计管理</w:t>
      </w:r>
    </w:p>
    <w:p w14:paraId="56F1D0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单位主要负责人应当定期听取内部审计工作汇报，加强对内部审计发展战略、年度审计计划、审计质量控制、审计发现问题整改和审计队伍建设等重要事项的管理。总审计师、内部审计机构负责人应当及时向本单位主要负责人报告内部审计结果和重大事项。</w:t>
      </w:r>
    </w:p>
    <w:p w14:paraId="39AF46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内部审计机构应当依照审计法律法规、行业准则和实务指南等建立健全内部审计工作规范，并按规范实施审计。</w:t>
      </w:r>
    </w:p>
    <w:p w14:paraId="25D278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内部审计机构应当根据单位发展目标、治理结构、管理体制、风险状况等，科学合理地确定内部审计发展战略、制定内部审计计划。</w:t>
      </w:r>
    </w:p>
    <w:p w14:paraId="2E1EC0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内部审计机构应当运用现代审计理念和方法，坚持风险和问题导向，优化审计业务组织方式，加强审计信息化建设，全面提高审计效率。</w:t>
      </w:r>
    </w:p>
    <w:p w14:paraId="7D628C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内部审计机构应当着眼于促进问题解决，立足于促进机制建设，对审计发现问题做到事实清楚、定性准确，并在分析根本原因的基础上提出审计建议，通过与相关单位合作促进单位事业发展。</w:t>
      </w:r>
    </w:p>
    <w:p w14:paraId="1D5476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内部审计机构应当加强自身内部控制建设，合理设置审计岗位和职责分工、优化审计业务流程，完善审计全面质量控制。</w:t>
      </w:r>
    </w:p>
    <w:p w14:paraId="00BAD9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内部审计机构应当建立健全本单位及所属单位内部审计工作评价制度，促进提升审计业务与审计管理的专业化水平。</w:t>
      </w:r>
    </w:p>
    <w:p w14:paraId="07D567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1"/>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内部审计机构实施领导人员经济责任审计时，应当参照执行国家有关经济责任审计的规定。</w:t>
      </w:r>
    </w:p>
    <w:p w14:paraId="586F5B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第五章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内部审计结果运用</w:t>
      </w:r>
    </w:p>
    <w:p w14:paraId="61D552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单位应当建立健全审计发现问题整改机制，明确被审计单位主要负责人为整改第一责任人，完善审计整改结果报告制度、审计整改情况跟踪检查制度、审计整改约谈制度，推动审计发现问题的整改落实。</w:t>
      </w:r>
    </w:p>
    <w:p w14:paraId="6A085B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单位应当建立健全审计结果及整改情况在一定范围内公开制度。</w:t>
      </w:r>
    </w:p>
    <w:p w14:paraId="1B9309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单位应当对审计发现的典型性、普遍性问题，及时分析研究，制定和完善相关管理制度，建立健全内部控制措施；对审计发现的倾向性问题，开展审计调查，出具审计管理建议书，为科学决策提供建议。</w:t>
      </w:r>
    </w:p>
    <w:p w14:paraId="627A25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单位应当加强内部审计机构、纪检监察、巡视巡察、组织人事等内部监督力量的协作配合，建立信息共享、结果共用、重要事项共同实施、整改问责共同落实等工作机制。</w:t>
      </w:r>
    </w:p>
    <w:p w14:paraId="72EC87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单位应当将内部审计结果及整改情况作为相关决策、预算安排、干部考核、人事任免和奖惩的重要依据。</w:t>
      </w:r>
    </w:p>
    <w:p w14:paraId="233943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单位在对所属单位开展审计时，应当有效利用所属单位内部审计力量和成果。对所属单位内部审计发现且已经纠正的问题不再在审计报告中反映。</w:t>
      </w:r>
    </w:p>
    <w:p w14:paraId="31148C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对内部审计发现的重大违纪违法问题线索，在向本单位党组织、主要负责人报告的同时，应当及时向上一级内部审计机构报告，并按照管辖权限依法依规及时移送纪检监察机关、司法机关。</w:t>
      </w:r>
    </w:p>
    <w:p w14:paraId="3F6221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第六章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法律责任</w:t>
      </w:r>
    </w:p>
    <w:p w14:paraId="210EE5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被审计单位有下列情形之一的，由单位党组织、主要负责人责令改正，并对直接负责的主管人员和其他直接责任人员进行处理：</w:t>
      </w:r>
    </w:p>
    <w:p w14:paraId="109C19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（一）拒绝接受或者不配合内部审计工作的；</w:t>
      </w:r>
    </w:p>
    <w:p w14:paraId="7726BD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（二）拒绝、拖延提供与内部审计事项有关的资料，或者提供资料不真实、不完整的；</w:t>
      </w:r>
    </w:p>
    <w:p w14:paraId="008A63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（三）拒不纠正审计发现问题的；</w:t>
      </w:r>
    </w:p>
    <w:p w14:paraId="371664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（四）整改不力、屡审屡犯的；</w:t>
      </w:r>
    </w:p>
    <w:p w14:paraId="087D90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（五）违反国家规定或者本单位内部规定的其他情形。</w:t>
      </w:r>
    </w:p>
    <w:p w14:paraId="713AFE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内部审计机构和内部审计人员有下列情形之一的，由单位对直接负责的主管人员和其他直接责任人员进行处理；涉嫌犯罪的，依法追究刑事责任：</w:t>
      </w:r>
    </w:p>
    <w:p w14:paraId="5645BF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（一）玩忽职守、不认真履行审计职责造成严重后果的；</w:t>
      </w:r>
    </w:p>
    <w:p w14:paraId="590019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（二）隐瞒审计查出的问题或者提供虚假审计报告的；</w:t>
      </w:r>
    </w:p>
    <w:p w14:paraId="7989BD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（三）泄露国家秘密或者商业秘密的；</w:t>
      </w:r>
    </w:p>
    <w:p w14:paraId="7AEFC9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（四）利用职权谋取私利的；</w:t>
      </w:r>
    </w:p>
    <w:p w14:paraId="3788AF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（五）违反国家规定或者本单位内部规定的其他情形。</w:t>
      </w:r>
    </w:p>
    <w:p w14:paraId="1B1280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内部审计人员因履行职责受到打击、报复、陷害的，主要负责人应当及时采取保护措施，并对相关责任人员进行处理；涉嫌犯罪的，移送司法机关依法追究刑事责任。</w:t>
      </w:r>
    </w:p>
    <w:p w14:paraId="0A2C01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第七章</w:t>
      </w:r>
      <w:r>
        <w:rPr>
          <w:rStyle w:val="14"/>
          <w:rFonts w:hint="eastAsia" w:ascii="黑体" w:hAnsi="黑体" w:eastAsia="黑体" w:cs="黑体"/>
          <w:i w:val="0"/>
          <w:iCs w:val="0"/>
          <w:caps w:val="0"/>
          <w:color w:val="auto"/>
          <w:spacing w:val="0"/>
          <w:sz w:val="24"/>
          <w:szCs w:val="24"/>
          <w:shd w:val="clear" w:color="auto" w:fill="FFFFFF"/>
          <w:lang w:val="en-US" w:eastAsia="zh-CN"/>
        </w:rPr>
        <w:t xml:space="preserve"> </w:t>
      </w:r>
      <w:r>
        <w:rPr>
          <w:rStyle w:val="14"/>
          <w:rFonts w:hint="eastAsia" w:ascii="黑体" w:hAnsi="黑体" w:eastAsia="黑体" w:cs="黑体"/>
          <w:i w:val="0"/>
          <w:iCs w:val="0"/>
          <w:caps w:val="0"/>
          <w:color w:val="auto"/>
          <w:spacing w:val="0"/>
          <w:sz w:val="24"/>
          <w:szCs w:val="24"/>
          <w:shd w:val="clear" w:color="auto" w:fill="FFFFFF"/>
        </w:rPr>
        <w:t>附则</w:t>
      </w:r>
    </w:p>
    <w:p w14:paraId="5B9834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单位可以根据本规定，制定本地方、本单位内部审计管理规定。民办学校可以根据实际情况参照本规定执行。</w:t>
      </w:r>
    </w:p>
    <w:p w14:paraId="595F29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本规定所称企业是指教育行政部门、学校及其他教育事业单位管理的国有和国有资本占控股地位或主导地位的企业。</w:t>
      </w:r>
    </w:p>
    <w:p w14:paraId="2C2F78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本规定由教育部负责解释。</w:t>
      </w:r>
    </w:p>
    <w:p w14:paraId="2C9D03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本规定自2020年5月1日起施行。教育部于2004年4月13日发布的《教育系统内部审计工作规定》（教育部令第17号）同时废止。</w:t>
      </w:r>
    </w:p>
    <w:p w14:paraId="6228DC9B">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117BCF7F">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5D32C883">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597FEDA6">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33049E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val="0"/>
          <w:i w:val="0"/>
          <w:iCs w:val="0"/>
          <w:caps w:val="0"/>
          <w:color w:val="auto"/>
          <w:spacing w:val="0"/>
          <w:sz w:val="36"/>
          <w:szCs w:val="36"/>
        </w:rPr>
      </w:pPr>
      <w:r>
        <w:rPr>
          <w:rStyle w:val="14"/>
          <w:rFonts w:hint="eastAsia" w:ascii="宋体" w:hAnsi="宋体" w:eastAsia="宋体" w:cs="宋体"/>
          <w:b/>
          <w:bCs w:val="0"/>
          <w:i w:val="0"/>
          <w:iCs w:val="0"/>
          <w:caps w:val="0"/>
          <w:color w:val="auto"/>
          <w:spacing w:val="0"/>
          <w:sz w:val="36"/>
          <w:szCs w:val="36"/>
          <w:shd w:val="clear" w:color="auto" w:fill="FFFFFF"/>
        </w:rPr>
        <w:br w:type="page"/>
      </w:r>
      <w:bookmarkStart w:id="52" w:name="_Toc31406"/>
      <w:bookmarkStart w:id="53" w:name="_Toc28358"/>
      <w:r>
        <w:rPr>
          <w:rStyle w:val="14"/>
          <w:rFonts w:hint="eastAsia" w:ascii="宋体" w:hAnsi="宋体" w:eastAsia="宋体" w:cs="宋体"/>
          <w:b/>
          <w:bCs w:val="0"/>
          <w:i w:val="0"/>
          <w:iCs w:val="0"/>
          <w:caps w:val="0"/>
          <w:color w:val="auto"/>
          <w:spacing w:val="0"/>
          <w:sz w:val="36"/>
          <w:szCs w:val="36"/>
          <w:shd w:val="clear" w:color="auto" w:fill="FFFFFF"/>
        </w:rPr>
        <w:t>教育信访工作办法</w:t>
      </w:r>
      <w:bookmarkEnd w:id="52"/>
      <w:bookmarkEnd w:id="53"/>
    </w:p>
    <w:p w14:paraId="2C784A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val="0"/>
          <w:i w:val="0"/>
          <w:iCs w:val="0"/>
          <w:caps w:val="0"/>
          <w:color w:val="auto"/>
          <w:spacing w:val="0"/>
          <w:sz w:val="24"/>
          <w:szCs w:val="24"/>
        </w:rPr>
      </w:pPr>
      <w:r>
        <w:rPr>
          <w:rStyle w:val="14"/>
          <w:rFonts w:hint="eastAsia" w:ascii="黑体" w:hAnsi="黑体" w:eastAsia="黑体" w:cs="黑体"/>
          <w:b/>
          <w:bCs w:val="0"/>
          <w:i w:val="0"/>
          <w:iCs w:val="0"/>
          <w:caps w:val="0"/>
          <w:color w:val="auto"/>
          <w:spacing w:val="0"/>
          <w:sz w:val="24"/>
          <w:szCs w:val="24"/>
          <w:shd w:val="clear" w:color="auto" w:fill="FFFFFF"/>
        </w:rPr>
        <w:t>第一章 总则</w:t>
      </w:r>
    </w:p>
    <w:p w14:paraId="60E1A7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i w:val="0"/>
          <w:iCs w:val="0"/>
          <w:caps w:val="0"/>
          <w:color w:val="auto"/>
          <w:spacing w:val="0"/>
          <w:sz w:val="24"/>
          <w:szCs w:val="24"/>
          <w:shd w:val="clear" w:color="auto" w:fill="FFFFFF"/>
        </w:rPr>
        <w:t xml:space="preserve"> 为了保持同人民群众的密切联系，接受人民群众监督，保护信访人的合法权益，规范教育信访工作和维护信访秩序，根据《信访条例》和国家有关规定，结合教育信访工作实际，制定本办法。</w:t>
      </w:r>
    </w:p>
    <w:p w14:paraId="32B88F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i w:val="0"/>
          <w:iCs w:val="0"/>
          <w:caps w:val="0"/>
          <w:color w:val="auto"/>
          <w:spacing w:val="0"/>
          <w:sz w:val="24"/>
          <w:szCs w:val="24"/>
          <w:shd w:val="clear" w:color="auto" w:fill="FFFFFF"/>
        </w:rPr>
        <w:t xml:space="preserve"> 本办法所称信访，是指公民、法人或者其他组织采用书信、电子邮件、传真、电话、走访等形式，向教育部门反映情况，提出建议、意见或者投诉请求，依法由教育部门处理的活动。</w:t>
      </w:r>
    </w:p>
    <w:p w14:paraId="7C76D9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采用前款规定的形式进行信访活动的公民、法人或者其他组织，称信访人；采用前款规定形式向教育部门反映的情况，提出的建议、意见或者投诉请求，依法由教育部门处理的事项，称教育信访事项。</w:t>
      </w:r>
    </w:p>
    <w:p w14:paraId="049B3D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i w:val="0"/>
          <w:iCs w:val="0"/>
          <w:caps w:val="0"/>
          <w:color w:val="auto"/>
          <w:spacing w:val="0"/>
          <w:sz w:val="24"/>
          <w:szCs w:val="24"/>
          <w:shd w:val="clear" w:color="auto" w:fill="FFFFFF"/>
        </w:rPr>
        <w:t xml:space="preserve"> 教育信访工作遵循下列原则：</w:t>
      </w:r>
    </w:p>
    <w:p w14:paraId="171A66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（一）属地管理、分级负责，谁主管、谁负责；</w:t>
      </w:r>
    </w:p>
    <w:p w14:paraId="69DF4C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（二）依法、及时、就地解决问题与疏导教育、帮扶救助相结合；</w:t>
      </w:r>
    </w:p>
    <w:p w14:paraId="32F11E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（三）诉讼、仲裁、行政复议等与信访分离，依法分类处理；</w:t>
      </w:r>
    </w:p>
    <w:p w14:paraId="725063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（四）以人民为中心，把开展工作的过程作为践行党的群众路线、做好群众工作的过程，着力从源头上预防和减少信访问题发生。</w:t>
      </w:r>
    </w:p>
    <w:p w14:paraId="226750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i w:val="0"/>
          <w:iCs w:val="0"/>
          <w:caps w:val="0"/>
          <w:color w:val="auto"/>
          <w:spacing w:val="0"/>
          <w:sz w:val="24"/>
          <w:szCs w:val="24"/>
          <w:shd w:val="clear" w:color="auto" w:fill="FFFFFF"/>
        </w:rPr>
        <w:t xml:space="preserve"> 教育部门应当建立协调有序、运转顺畅、高效为民的信访工作领导机制，将信访工作列入议事日程，定期听取工作汇报、分析信访形势、研究解决工作中的重要问题，形成统一领导、分工协作，各负其责、齐抓共管的信访工作格局，及时化解矛盾和纠纷。</w:t>
      </w:r>
    </w:p>
    <w:p w14:paraId="420411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教育部门主要负责人是本部门信访工作的第一责任人，对信访工作负总责；分管负责人具体负责；其他负责人根据工作分工，对职权范围内的信访工作负主要领导责任。</w:t>
      </w:r>
    </w:p>
    <w:p w14:paraId="1D53EF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i w:val="0"/>
          <w:iCs w:val="0"/>
          <w:caps w:val="0"/>
          <w:color w:val="auto"/>
          <w:spacing w:val="0"/>
          <w:sz w:val="24"/>
          <w:szCs w:val="24"/>
          <w:shd w:val="clear" w:color="auto" w:fill="FFFFFF"/>
        </w:rPr>
        <w:t xml:space="preserve"> 教育部门应当把信访工作作为党的群众工作的重要平台，建立健全联系群众的制度，听取群众意愿，了解社情民意。部门负责人应当阅批群众来信，定期接待群众来访，协调处理疑难复杂信访问题。</w:t>
      </w:r>
    </w:p>
    <w:p w14:paraId="56574A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i w:val="0"/>
          <w:iCs w:val="0"/>
          <w:caps w:val="0"/>
          <w:color w:val="auto"/>
          <w:spacing w:val="0"/>
          <w:sz w:val="24"/>
          <w:szCs w:val="24"/>
          <w:shd w:val="clear" w:color="auto" w:fill="FFFFFF"/>
        </w:rPr>
        <w:t xml:space="preserve"> 教育部门应当科学、民主决策，依法履行职责，建立健全矛盾纠纷源头预防、排查和化解机制，开展重大决策社会稳定风险评估，定期排查化解矛盾纠纷，坚持和发展新时代“枫桥经验”，努力将矛盾纠纷化解在基层、化解在萌芽状态。</w:t>
      </w:r>
    </w:p>
    <w:p w14:paraId="251993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i w:val="0"/>
          <w:iCs w:val="0"/>
          <w:caps w:val="0"/>
          <w:color w:val="auto"/>
          <w:spacing w:val="0"/>
          <w:sz w:val="24"/>
          <w:szCs w:val="24"/>
          <w:shd w:val="clear" w:color="auto" w:fill="FFFFFF"/>
        </w:rPr>
        <w:t xml:space="preserve"> 教育部门应当综合运用法律、政策、经济、行政等手段和教育、调解、疏导等办法，把群众合理合法的利益诉求解决好。可以通过政府购买服务、提供办公场所等形式，发挥好律师、心理咨询师、专家、学者和社会组织的积极作用，促进疑难复杂信访事项办理；可以组织党代表、人大代表、政协委员、有声望的社会人士等共同参与解决和化解信访突出问题。</w:t>
      </w:r>
    </w:p>
    <w:p w14:paraId="25F065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i w:val="0"/>
          <w:iCs w:val="0"/>
          <w:caps w:val="0"/>
          <w:color w:val="auto"/>
          <w:spacing w:val="0"/>
          <w:sz w:val="24"/>
          <w:szCs w:val="24"/>
          <w:shd w:val="clear" w:color="auto" w:fill="FFFFFF"/>
        </w:rPr>
        <w:t xml:space="preserve"> 教育部门应当建立健全信访工作责任制，对信访工作中的失职、渎职行为，依法依规追究有关人员的责任。应当将信访工作纳入本部门考核体系，制定科学合理的考核评价标准和指标体系，将信访工作考核结果作为领导班子和领导干部综合考评的重要参考和干部选拔任用、集体及个人评比表彰奖惩的重要依据，对做出优异成绩的单位或者个人给予奖励。</w:t>
      </w:r>
    </w:p>
    <w:p w14:paraId="0FDB7D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p>
    <w:p w14:paraId="593CFF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第二章 信访工作机构和人员</w:t>
      </w:r>
    </w:p>
    <w:p w14:paraId="7B95F5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i w:val="0"/>
          <w:iCs w:val="0"/>
          <w:caps w:val="0"/>
          <w:color w:val="auto"/>
          <w:spacing w:val="0"/>
          <w:sz w:val="24"/>
          <w:szCs w:val="24"/>
          <w:shd w:val="clear" w:color="auto" w:fill="FFFFFF"/>
        </w:rPr>
        <w:t xml:space="preserve"> 教育部门应当按照有利工作、方便信访人的原则，明确负责信访工作的机构（以下简称信访工作机构）或者人员，配备足够工作力量，以适应完成信访工作任务的需要。</w:t>
      </w:r>
    </w:p>
    <w:p w14:paraId="22F8BC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i w:val="0"/>
          <w:iCs w:val="0"/>
          <w:caps w:val="0"/>
          <w:color w:val="auto"/>
          <w:spacing w:val="0"/>
          <w:sz w:val="24"/>
          <w:szCs w:val="24"/>
          <w:shd w:val="clear" w:color="auto" w:fill="FFFFFF"/>
        </w:rPr>
        <w:t xml:space="preserve"> 教育部门信访工作机构履行下列职责：</w:t>
      </w:r>
    </w:p>
    <w:p w14:paraId="6BF6FC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（一）登记信访事项，向本部门有关内设机构或者所属单位、下级教育部门转送、交办信访事项；</w:t>
      </w:r>
    </w:p>
    <w:p w14:paraId="3F26FE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（二）指导、督促、检查本部门有关内设机构或者所属单位，受理属于本部门职责范围的信访事项；</w:t>
      </w:r>
    </w:p>
    <w:p w14:paraId="055BAB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（三）处理上级教育部门和本级人民政府转送、交办的信访事项；</w:t>
      </w:r>
    </w:p>
    <w:p w14:paraId="7BFBE2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（四）向信访人宣传有关法律法规和教育政策，接受信访咨询；</w:t>
      </w:r>
    </w:p>
    <w:p w14:paraId="6161B5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（五）协调处理重大、疑难、复杂信访事项；</w:t>
      </w:r>
    </w:p>
    <w:p w14:paraId="7FC701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（六）研究、分析教育信访情况，开展调查研究和信访风险研判，及时向本部门提出完善政策或者改进工作的建议；</w:t>
      </w:r>
    </w:p>
    <w:p w14:paraId="54E49D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（七）督促检查信访事项的处理，总结交流信访工作经验，指导下级教育部门信访工作；</w:t>
      </w:r>
    </w:p>
    <w:p w14:paraId="367289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（八）按要求报送信访工作情况和分析统计报告。</w:t>
      </w:r>
    </w:p>
    <w:p w14:paraId="1FB48A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i w:val="0"/>
          <w:iCs w:val="0"/>
          <w:caps w:val="0"/>
          <w:color w:val="auto"/>
          <w:spacing w:val="0"/>
          <w:sz w:val="24"/>
          <w:szCs w:val="24"/>
          <w:shd w:val="clear" w:color="auto" w:fill="FFFFFF"/>
        </w:rPr>
        <w:t xml:space="preserve"> 教育部门应当选用政治坚定、业务精通、作风优良，具有相应法律知识、政策水平和群众工作经验的人员从事信访工作；建立和完善新入职干部、优秀青年干部、新提拔干部等到信访岗位挂职锻炼制度，把信访工作机构作为发现培养锻炼干部的重要基地。</w:t>
      </w:r>
    </w:p>
    <w:p w14:paraId="19AB3C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教育部门应当重视信访干部的使用，建立和完善信访工作人员培训、交流和选拔使用等机制，增强信访干部队伍活力，提高信访干部做好群众工作、解决信访突出问题的能力。</w:t>
      </w:r>
    </w:p>
    <w:p w14:paraId="3E5C4D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i w:val="0"/>
          <w:iCs w:val="0"/>
          <w:caps w:val="0"/>
          <w:color w:val="auto"/>
          <w:spacing w:val="0"/>
          <w:sz w:val="24"/>
          <w:szCs w:val="24"/>
          <w:shd w:val="clear" w:color="auto" w:fill="FFFFFF"/>
        </w:rPr>
        <w:t xml:space="preserve"> 教育部门应当保障信访工作机构必要的办公经费和处理信访事项的业务经费，改善办公条件，严格落实信访工作人员岗位津贴，重视对信访工作人员的心理疏导和关爱，为信访工作人员履行职责提供有力支持。按照布局合理、设备齐全、环境友好、安全有序的要求，进一步建设和改善群众来访接待场所。</w:t>
      </w:r>
    </w:p>
    <w:p w14:paraId="6DB7D4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第三章 信访渠道</w:t>
      </w:r>
    </w:p>
    <w:p w14:paraId="7666AE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第十三</w:t>
      </w:r>
      <w:r>
        <w:rPr>
          <w:rFonts w:hint="eastAsia" w:ascii="仿宋" w:hAnsi="仿宋" w:eastAsia="仿宋" w:cs="仿宋"/>
          <w:i w:val="0"/>
          <w:iCs w:val="0"/>
          <w:caps w:val="0"/>
          <w:color w:val="auto"/>
          <w:spacing w:val="0"/>
          <w:sz w:val="24"/>
          <w:szCs w:val="24"/>
          <w:shd w:val="clear" w:color="auto" w:fill="FFFFFF"/>
        </w:rPr>
        <w:t>条 教育部门应当向社会公开信访工作机构的通信地址、电子信箱、投诉电话、信访接待的时间和地点、查询信访事项处理进展和结果的方式等相关信息。</w:t>
      </w:r>
    </w:p>
    <w:p w14:paraId="03BA5E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i w:val="0"/>
          <w:iCs w:val="0"/>
          <w:caps w:val="0"/>
          <w:color w:val="auto"/>
          <w:spacing w:val="0"/>
          <w:sz w:val="24"/>
          <w:szCs w:val="24"/>
          <w:shd w:val="clear" w:color="auto" w:fill="FFFFFF"/>
        </w:rPr>
        <w:t xml:space="preserve"> 教育部门应当设立或者指定可单独接待信访人的场所。接待场所应具备便于信访人反映问题、了解信访法律法规和信访事项办理程序，以及其他方便信访人反映问题的条件。</w:t>
      </w:r>
    </w:p>
    <w:p w14:paraId="507EBB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i w:val="0"/>
          <w:iCs w:val="0"/>
          <w:caps w:val="0"/>
          <w:color w:val="auto"/>
          <w:spacing w:val="0"/>
          <w:sz w:val="24"/>
          <w:szCs w:val="24"/>
          <w:shd w:val="clear" w:color="auto" w:fill="FFFFFF"/>
        </w:rPr>
        <w:t xml:space="preserve"> 县级以上教育部门应当建立或者接入信访信息系统，实现上下级教育部门信访信息互联互通，为信访人在当地提出信访事项、查询办理情况提供便利，提高信访工作信息化水平。</w:t>
      </w:r>
    </w:p>
    <w:p w14:paraId="394EE5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i w:val="0"/>
          <w:iCs w:val="0"/>
          <w:caps w:val="0"/>
          <w:color w:val="auto"/>
          <w:spacing w:val="0"/>
          <w:sz w:val="24"/>
          <w:szCs w:val="24"/>
          <w:shd w:val="clear" w:color="auto" w:fill="FFFFFF"/>
        </w:rPr>
        <w:t xml:space="preserve"> 教育部门应当把领导干部接访下访作为党员干部直接联系群众的一项重要制度，安排领导干部定期接待群众来访，及时收集社情民意、协调化解各类信访问题。</w:t>
      </w:r>
    </w:p>
    <w:p w14:paraId="253BA6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教育部门负责人或者其指定的人员，可以就信访人反映突出的问题到信访人居住地与信访人面谈沟通。</w:t>
      </w:r>
    </w:p>
    <w:p w14:paraId="03EB1E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第四章 信访事项的提出和受理</w:t>
      </w:r>
    </w:p>
    <w:p w14:paraId="250B1F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i w:val="0"/>
          <w:iCs w:val="0"/>
          <w:caps w:val="0"/>
          <w:color w:val="auto"/>
          <w:spacing w:val="0"/>
          <w:sz w:val="24"/>
          <w:szCs w:val="24"/>
          <w:shd w:val="clear" w:color="auto" w:fill="FFFFFF"/>
        </w:rPr>
        <w:t xml:space="preserve"> 信访人向教育部门提出信访事项，一般应当采用书信、网络、传真等书面形式。信访人提出投诉请求的，还应当写明信访人的姓名（名称）、联系方式、住址和请求、事实、理由。</w:t>
      </w:r>
    </w:p>
    <w:p w14:paraId="69FF94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对采用口头形式提出的投诉请求，教育部门应当如实记录信访人的姓名（名称）、联系方式、住址和请求、事实、理由。</w:t>
      </w:r>
    </w:p>
    <w:p w14:paraId="5A8DB0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i w:val="0"/>
          <w:iCs w:val="0"/>
          <w:caps w:val="0"/>
          <w:color w:val="auto"/>
          <w:spacing w:val="0"/>
          <w:sz w:val="24"/>
          <w:szCs w:val="24"/>
          <w:shd w:val="clear" w:color="auto" w:fill="FFFFFF"/>
        </w:rPr>
        <w:t xml:space="preserve"> 信访人采用走访形式提出信访事项，应当根据信访事项的性质和管辖层级，到依法有权处理的本级或者上一级教育部门设立或者指定的接待场所提出。</w:t>
      </w:r>
    </w:p>
    <w:p w14:paraId="257BBD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多人采用走访形式提出共同信访事项的，应当推选代表，代表人数不得超过５人。代表应当如实向其所代表的信访人转达教育部门的处理或者答复意见。</w:t>
      </w:r>
    </w:p>
    <w:p w14:paraId="4A3410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i w:val="0"/>
          <w:iCs w:val="0"/>
          <w:caps w:val="0"/>
          <w:color w:val="auto"/>
          <w:spacing w:val="0"/>
          <w:sz w:val="24"/>
          <w:szCs w:val="24"/>
          <w:shd w:val="clear" w:color="auto" w:fill="FFFFFF"/>
        </w:rPr>
        <w:t xml:space="preserve"> 信访人提出信访事项，应当客观真实，对其所提供材料内容的真实性负责，不得捏造、歪曲事实，不得诬告、陷害他人。</w:t>
      </w:r>
    </w:p>
    <w:p w14:paraId="5A6B00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对依法应当通过诉讼、仲裁、行政复议等法定途径解决的投诉请求，信访人应当依照法定程序向有关机关提出。</w:t>
      </w:r>
    </w:p>
    <w:p w14:paraId="3C6D98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i w:val="0"/>
          <w:iCs w:val="0"/>
          <w:caps w:val="0"/>
          <w:color w:val="auto"/>
          <w:spacing w:val="0"/>
          <w:sz w:val="24"/>
          <w:szCs w:val="24"/>
          <w:shd w:val="clear" w:color="auto" w:fill="FFFFFF"/>
        </w:rPr>
        <w:t xml:space="preserve"> 信访人在信访过程中应当遵守</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，不得损害国家、社会、集体的利益和其他公民的合法权利，自觉维护社会公共秩序和信访秩序。</w:t>
      </w:r>
    </w:p>
    <w:p w14:paraId="73518B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i w:val="0"/>
          <w:iCs w:val="0"/>
          <w:caps w:val="0"/>
          <w:color w:val="auto"/>
          <w:spacing w:val="0"/>
          <w:sz w:val="24"/>
          <w:szCs w:val="24"/>
          <w:shd w:val="clear" w:color="auto" w:fill="FFFFFF"/>
        </w:rPr>
        <w:t xml:space="preserve"> 教育信访工作机构应当客观真实、准确规范登记信访事项，包括信访人基本情况、反映事项概况、受理办理过程等相关要素，并及时录入信访信息系统，方便信访人查询、评价和监督。</w:t>
      </w:r>
    </w:p>
    <w:p w14:paraId="58B9C2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i w:val="0"/>
          <w:iCs w:val="0"/>
          <w:caps w:val="0"/>
          <w:color w:val="auto"/>
          <w:spacing w:val="0"/>
          <w:sz w:val="24"/>
          <w:szCs w:val="24"/>
          <w:shd w:val="clear" w:color="auto" w:fill="FFFFFF"/>
        </w:rPr>
        <w:t xml:space="preserve"> 教育信访工作机构收到信访事项后，应当在15日内分别按照下列方式处理：</w:t>
      </w:r>
    </w:p>
    <w:p w14:paraId="1A3D74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（一）属于本级教育部门职责范围的，应当受理并根据所反映问题的性质和内容确定有权处理机构。</w:t>
      </w:r>
    </w:p>
    <w:p w14:paraId="31FFB0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（二）属于本级教育部门所属单位职责范围的，应当转送或者交办所属单位办理，并告知信访人转送、交办去向；</w:t>
      </w:r>
    </w:p>
    <w:p w14:paraId="3A09A6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（三）属于下级教育部门职责范围的，应当转送下级教育部门办理。对重要信访事项，可以向下级教育部门进行交办，要求其在规定的期限内反馈结果，并提交办理报告。</w:t>
      </w:r>
    </w:p>
    <w:p w14:paraId="70843A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（四）有以下情形之一的，不予（再）受理：</w:t>
      </w:r>
    </w:p>
    <w:p w14:paraId="0E7E45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1.不属于教育部门职责范围的；</w:t>
      </w:r>
    </w:p>
    <w:p w14:paraId="3FBB2E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2.已经或者依法应当通过诉讼、仲裁、行政复议等法定途径解决的；</w:t>
      </w:r>
    </w:p>
    <w:p w14:paraId="5FB3A8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3.采取走访形式，但跨越有权处理的本级和上一级教育部门走访的；</w:t>
      </w:r>
    </w:p>
    <w:p w14:paraId="1161C6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4.同一信访事项已经受理或者正在办理，在办理时限内再次提出的；</w:t>
      </w:r>
    </w:p>
    <w:p w14:paraId="542187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5.无正当理由超过规定期限未申请复查（复核）的；</w:t>
      </w:r>
    </w:p>
    <w:p w14:paraId="463341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6.已经省级人民政府复查复核机构审核认定办结，或已经复核终结备案并录入国家信访信息系统的；</w:t>
      </w:r>
    </w:p>
    <w:p w14:paraId="7EF961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7.其他不予（再）受理的情形。</w:t>
      </w:r>
    </w:p>
    <w:p w14:paraId="0B0581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第二十三条</w:t>
      </w:r>
      <w:r>
        <w:rPr>
          <w:rFonts w:hint="eastAsia" w:ascii="仿宋" w:hAnsi="仿宋" w:eastAsia="仿宋" w:cs="仿宋"/>
          <w:i w:val="0"/>
          <w:iCs w:val="0"/>
          <w:caps w:val="0"/>
          <w:color w:val="auto"/>
          <w:spacing w:val="0"/>
          <w:sz w:val="24"/>
          <w:szCs w:val="24"/>
          <w:shd w:val="clear" w:color="auto" w:fill="FFFFFF"/>
        </w:rPr>
        <w:t xml:space="preserve"> 教育部门收到信访事项后，能够当场答复是否受理的，应当当场答复并出具告知书；不能当场答复的，应当自收到信访事项之日起15日内书面告知信访人。但信访人的姓名（名称）、住址、电话、电子邮箱等联系信息不清的除外。</w:t>
      </w:r>
    </w:p>
    <w:p w14:paraId="2AC18D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同一信访事项不予（再）受理告知书只出具一次。对不属于教育部门职权范围内的信访事项，应当告知信访人向有权处理的机关提出。</w:t>
      </w:r>
    </w:p>
    <w:p w14:paraId="5E2418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第二十四条</w:t>
      </w:r>
      <w:r>
        <w:rPr>
          <w:rFonts w:hint="eastAsia" w:ascii="仿宋" w:hAnsi="仿宋" w:eastAsia="仿宋" w:cs="仿宋"/>
          <w:i w:val="0"/>
          <w:iCs w:val="0"/>
          <w:caps w:val="0"/>
          <w:color w:val="auto"/>
          <w:spacing w:val="0"/>
          <w:sz w:val="24"/>
          <w:szCs w:val="24"/>
          <w:shd w:val="clear" w:color="auto" w:fill="FFFFFF"/>
        </w:rPr>
        <w:t xml:space="preserve"> 教育信访工作机构收到上级教育部门转送、交办的信访事项，不属于本级以及所属下级教育部门职责范围的，应当自收到信访事项之日起5个工作日内向转送、交办单位提出异议，并详细说明理由，经核实同意后，退还相关材料。</w:t>
      </w:r>
    </w:p>
    <w:p w14:paraId="0DD43E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第二十五条 </w:t>
      </w:r>
      <w:r>
        <w:rPr>
          <w:rFonts w:hint="eastAsia" w:ascii="仿宋" w:hAnsi="仿宋" w:eastAsia="仿宋" w:cs="仿宋"/>
          <w:i w:val="0"/>
          <w:iCs w:val="0"/>
          <w:caps w:val="0"/>
          <w:color w:val="auto"/>
          <w:spacing w:val="0"/>
          <w:sz w:val="24"/>
          <w:szCs w:val="24"/>
          <w:shd w:val="clear" w:color="auto" w:fill="FFFFFF"/>
        </w:rPr>
        <w:t>信访人就同一信访事项向两个或两个以上有权受理部门提出的，由最先收到的部门受理；同时收到的，由收到部门在10日内协商确定；协商不成的，由其共同上一级教育部门在5日内指定受理部门。</w:t>
      </w:r>
    </w:p>
    <w:p w14:paraId="5B1E7E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依法应当受理信访事项的部门分立、合并、撤销的，由继续履行其职权的部门受理。</w:t>
      </w:r>
    </w:p>
    <w:p w14:paraId="3E3897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第五章 信访事项的办理和督办</w:t>
      </w:r>
    </w:p>
    <w:p w14:paraId="446ED7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第二十六条</w:t>
      </w:r>
      <w:r>
        <w:rPr>
          <w:rFonts w:hint="eastAsia" w:ascii="仿宋" w:hAnsi="仿宋" w:eastAsia="仿宋" w:cs="仿宋"/>
          <w:i w:val="0"/>
          <w:iCs w:val="0"/>
          <w:caps w:val="0"/>
          <w:color w:val="auto"/>
          <w:spacing w:val="0"/>
          <w:sz w:val="24"/>
          <w:szCs w:val="24"/>
          <w:shd w:val="clear" w:color="auto" w:fill="FFFFFF"/>
        </w:rPr>
        <w:t xml:space="preserve"> 教育部门及其工作人员办理信访事项，应当恪尽职守、秉公办事，查明事实、分清责任，宣传法治、教育疏导，及时妥善处理，维护好群众合法权益，不得推诿、敷衍、拖延。</w:t>
      </w:r>
    </w:p>
    <w:p w14:paraId="466D63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第二十七条</w:t>
      </w:r>
      <w:r>
        <w:rPr>
          <w:rFonts w:hint="eastAsia" w:ascii="仿宋" w:hAnsi="仿宋" w:eastAsia="仿宋" w:cs="仿宋"/>
          <w:i w:val="0"/>
          <w:iCs w:val="0"/>
          <w:caps w:val="0"/>
          <w:color w:val="auto"/>
          <w:spacing w:val="0"/>
          <w:sz w:val="24"/>
          <w:szCs w:val="24"/>
          <w:shd w:val="clear" w:color="auto" w:fill="FFFFFF"/>
        </w:rPr>
        <w:t xml:space="preserve"> 对信访人提出的有利于改进工作的建议、意见，应当认真研究论证并积极采纳，必要时可组织调查研究和约见信访人听取情况。</w:t>
      </w:r>
    </w:p>
    <w:p w14:paraId="289DEB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第二十八条 </w:t>
      </w:r>
      <w:r>
        <w:rPr>
          <w:rFonts w:hint="eastAsia" w:ascii="仿宋" w:hAnsi="仿宋" w:eastAsia="仿宋" w:cs="仿宋"/>
          <w:i w:val="0"/>
          <w:iCs w:val="0"/>
          <w:caps w:val="0"/>
          <w:color w:val="auto"/>
          <w:spacing w:val="0"/>
          <w:sz w:val="24"/>
          <w:szCs w:val="24"/>
          <w:shd w:val="clear" w:color="auto" w:fill="FFFFFF"/>
        </w:rPr>
        <w:t>对信访人提出的检举、揭发事项，应当按照纪检监察工作相关规定和干部管理权限处理。不得将信访人的检举、揭发材料以及有关情况透露或者转给被检举、揭发的人员或者单位。</w:t>
      </w:r>
    </w:p>
    <w:p w14:paraId="3658E2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第二十九条</w:t>
      </w:r>
      <w:r>
        <w:rPr>
          <w:rFonts w:hint="eastAsia" w:ascii="仿宋" w:hAnsi="仿宋" w:eastAsia="仿宋" w:cs="仿宋"/>
          <w:i w:val="0"/>
          <w:iCs w:val="0"/>
          <w:caps w:val="0"/>
          <w:color w:val="auto"/>
          <w:spacing w:val="0"/>
          <w:sz w:val="24"/>
          <w:szCs w:val="24"/>
          <w:shd w:val="clear" w:color="auto" w:fill="FFFFFF"/>
        </w:rPr>
        <w:t xml:space="preserve"> 对信访人提出的属于教育部门职责范围的投诉请求事项，应当根据诉求的具体情况分别采用以下相应程序处理：（一）属于《信访条例》以外的其他</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或者规章调整范围，能够适用其他</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章或者合法有效的规范性文件设定程序处理的，应当适用相应规定和程序处理；（二）属于申请查处违法行为、履行保护人身权或者财产权等合法权益法定职责的，应当依法履行或者答复；（三）不属于以上情形的，适用《信访条例》规定的程序处理。</w:t>
      </w:r>
    </w:p>
    <w:p w14:paraId="01D0AC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对前款规定中信访人提出的诉求，同时可以通过诉讼解决的，在受理前可以告知诉讼权利及法定时效，引导其向人民法院提起诉讼，但不得以信访人享有诉讼权利为由免除履行自身法定职责的义务。</w:t>
      </w:r>
    </w:p>
    <w:p w14:paraId="1DAC75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第三十条 </w:t>
      </w:r>
      <w:r>
        <w:rPr>
          <w:rFonts w:hint="eastAsia" w:ascii="仿宋" w:hAnsi="仿宋" w:eastAsia="仿宋" w:cs="仿宋"/>
          <w:i w:val="0"/>
          <w:iCs w:val="0"/>
          <w:caps w:val="0"/>
          <w:color w:val="auto"/>
          <w:spacing w:val="0"/>
          <w:sz w:val="24"/>
          <w:szCs w:val="24"/>
          <w:shd w:val="clear" w:color="auto" w:fill="FFFFFF"/>
        </w:rPr>
        <w:t>有权处理机构经调查核实，应当依法依规对投诉请求类事项分别作出以下处理，并书面答复信访人：</w:t>
      </w:r>
    </w:p>
    <w:p w14:paraId="4C6194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（一）请求事实清楚，符合或者部分符合</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、规章及其他有关规定的，予以支持或者部分支持；</w:t>
      </w:r>
    </w:p>
    <w:p w14:paraId="6504A8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（二）请求合理但缺乏</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、规章及其他有关规定依据的，向信访人做好解释工作；</w:t>
      </w:r>
    </w:p>
    <w:p w14:paraId="01052F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（三）请求缺乏事实根据或者不符合</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章及其他有关规定的，不予支持。书面答复意见应当写明具体请求、事实认定情况、处理意见及依据和不服处理意见的救济途径、期限，盖本级教育部门公章或者信访专用章。对疑难、复杂等信访事项的答复意见，应当进行合法性审查。</w:t>
      </w:r>
    </w:p>
    <w:p w14:paraId="4EFE7F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作出支持信访请求意见的，教育部门应当督促有关方面执行。</w:t>
      </w:r>
    </w:p>
    <w:p w14:paraId="77A820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第三十一条</w:t>
      </w:r>
      <w:r>
        <w:rPr>
          <w:rFonts w:hint="eastAsia" w:ascii="仿宋" w:hAnsi="仿宋" w:eastAsia="仿宋" w:cs="仿宋"/>
          <w:i w:val="0"/>
          <w:iCs w:val="0"/>
          <w:caps w:val="0"/>
          <w:color w:val="auto"/>
          <w:spacing w:val="0"/>
          <w:sz w:val="24"/>
          <w:szCs w:val="24"/>
          <w:shd w:val="clear" w:color="auto" w:fill="FFFFFF"/>
        </w:rPr>
        <w:t xml:space="preserve"> 信访事项应当自受理之日起60日内办结；情况复杂的，经本级教育部门负责人批准，可以适当延长办理期限，但延长期限不得超过30日，并告知信访人延期理由。</w:t>
      </w:r>
    </w:p>
    <w:p w14:paraId="00137F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第三十二条 </w:t>
      </w:r>
      <w:r>
        <w:rPr>
          <w:rFonts w:hint="eastAsia" w:ascii="仿宋" w:hAnsi="仿宋" w:eastAsia="仿宋" w:cs="仿宋"/>
          <w:i w:val="0"/>
          <w:iCs w:val="0"/>
          <w:caps w:val="0"/>
          <w:color w:val="auto"/>
          <w:spacing w:val="0"/>
          <w:sz w:val="24"/>
          <w:szCs w:val="24"/>
          <w:shd w:val="clear" w:color="auto" w:fill="FFFFFF"/>
        </w:rPr>
        <w:t>信访人对信访事项处理意见不服的，可以自收到书面答复之日起30日内向原办理部门的本级人民政府或者上一级教育部门申请复查。</w:t>
      </w:r>
    </w:p>
    <w:p w14:paraId="224740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负责复查的部门应当自收到复查申请之日起30日内提出复查意见，书面答复信访人。</w:t>
      </w:r>
    </w:p>
    <w:p w14:paraId="06EC32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信访人对省级教育部门处理意见不服的，应当向省级人民政府提出复查申请。</w:t>
      </w:r>
    </w:p>
    <w:p w14:paraId="2E0E7C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第三十三条 </w:t>
      </w:r>
      <w:r>
        <w:rPr>
          <w:rFonts w:hint="eastAsia" w:ascii="仿宋" w:hAnsi="仿宋" w:eastAsia="仿宋" w:cs="仿宋"/>
          <w:i w:val="0"/>
          <w:iCs w:val="0"/>
          <w:caps w:val="0"/>
          <w:color w:val="auto"/>
          <w:spacing w:val="0"/>
          <w:sz w:val="24"/>
          <w:szCs w:val="24"/>
          <w:shd w:val="clear" w:color="auto" w:fill="FFFFFF"/>
        </w:rPr>
        <w:t>信访人对复查意见不服的，可以自收到书面答复之日起30日内向复查部门的本级人民政府或者上一级教育部门申请复核。</w:t>
      </w:r>
    </w:p>
    <w:p w14:paraId="309C45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负责复核的部门应当自收到复核申请之日起30日内提出复核意见，书面答复信访人。复核部门举行听证的，听证所需时间不计算在30日的期限内。</w:t>
      </w:r>
    </w:p>
    <w:p w14:paraId="2F5CFA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信访人对省级教育部门复查意见不服的，应当向省级人民政府提出复核申请。</w:t>
      </w:r>
    </w:p>
    <w:p w14:paraId="1F5008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第三十四条 </w:t>
      </w:r>
      <w:r>
        <w:rPr>
          <w:rFonts w:hint="eastAsia" w:ascii="仿宋" w:hAnsi="仿宋" w:eastAsia="仿宋" w:cs="仿宋"/>
          <w:i w:val="0"/>
          <w:iCs w:val="0"/>
          <w:caps w:val="0"/>
          <w:color w:val="auto"/>
          <w:spacing w:val="0"/>
          <w:sz w:val="24"/>
          <w:szCs w:val="24"/>
          <w:shd w:val="clear" w:color="auto" w:fill="FFFFFF"/>
        </w:rPr>
        <w:t>原处理（复查）意见认定事实清楚、证据确凿、适用依据正确、程序合法、结论适当的，负责复查（复核）的部门应当予以维持，并书面答复信访人。</w:t>
      </w:r>
    </w:p>
    <w:p w14:paraId="3BE300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原处理（复查）意见有下列情形之一的，负责复查（复核）的部门应当予以撤销或者变更：</w:t>
      </w:r>
    </w:p>
    <w:p w14:paraId="4649D0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（一）主要事实不清、证据不足的；</w:t>
      </w:r>
    </w:p>
    <w:p w14:paraId="096447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（二）适用依据错误的；</w:t>
      </w:r>
    </w:p>
    <w:p w14:paraId="644AD7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（三）违反法定程序或以信访程序代替其他行政法定程序的；</w:t>
      </w:r>
    </w:p>
    <w:p w14:paraId="2BF82F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（四）超越或者滥用职权的；</w:t>
      </w:r>
    </w:p>
    <w:p w14:paraId="67E95B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（五）结论明显不当的。</w:t>
      </w:r>
    </w:p>
    <w:p w14:paraId="112BBA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原意见被撤销的，作出处理（复查）意见的部门应当在指定期限内重新作出处理（复查）意见。</w:t>
      </w:r>
    </w:p>
    <w:p w14:paraId="3539DA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第三十五条</w:t>
      </w:r>
      <w:r>
        <w:rPr>
          <w:rFonts w:hint="eastAsia" w:ascii="仿宋" w:hAnsi="仿宋" w:eastAsia="仿宋" w:cs="仿宋"/>
          <w:i w:val="0"/>
          <w:iCs w:val="0"/>
          <w:caps w:val="0"/>
          <w:color w:val="auto"/>
          <w:spacing w:val="0"/>
          <w:sz w:val="24"/>
          <w:szCs w:val="24"/>
          <w:shd w:val="clear" w:color="auto" w:fill="FFFFFF"/>
        </w:rPr>
        <w:t xml:space="preserve"> 信访人对信访事项处理（复查）意见不服，但无正当理由超过规定期限未提出复查（复核）申请的，或者信访人对复核意见不服，仍以同一事实和理由提出投诉请求的，教育部门不再受理，并告知信访人。</w:t>
      </w:r>
    </w:p>
    <w:p w14:paraId="393E67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信访人就同一信访事项提出新的事实和理由的，教育部门应当受理。</w:t>
      </w:r>
    </w:p>
    <w:p w14:paraId="392313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第三十六条</w:t>
      </w:r>
      <w:r>
        <w:rPr>
          <w:rFonts w:hint="eastAsia" w:ascii="仿宋" w:hAnsi="仿宋" w:eastAsia="仿宋" w:cs="仿宋"/>
          <w:i w:val="0"/>
          <w:iCs w:val="0"/>
          <w:caps w:val="0"/>
          <w:color w:val="auto"/>
          <w:spacing w:val="0"/>
          <w:sz w:val="24"/>
          <w:szCs w:val="24"/>
          <w:shd w:val="clear" w:color="auto" w:fill="FFFFFF"/>
        </w:rPr>
        <w:t xml:space="preserve"> 信访人反映的问题已经按信访程序办理完毕并书面答复，或者其未逐级提出信访复查、复核请求，且无正当理由已超过规定时限的，教育部门不再受理、交办、统计、通报，但有权处理机构应当做好信访人的教育疏导、矛盾化解、帮扶救助等工作。</w:t>
      </w:r>
    </w:p>
    <w:p w14:paraId="293CF5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第三十七条</w:t>
      </w:r>
      <w:r>
        <w:rPr>
          <w:rFonts w:hint="eastAsia" w:ascii="仿宋" w:hAnsi="仿宋" w:eastAsia="仿宋" w:cs="仿宋"/>
          <w:i w:val="0"/>
          <w:iCs w:val="0"/>
          <w:caps w:val="0"/>
          <w:color w:val="auto"/>
          <w:spacing w:val="0"/>
          <w:sz w:val="24"/>
          <w:szCs w:val="24"/>
          <w:shd w:val="clear" w:color="auto" w:fill="FFFFFF"/>
        </w:rPr>
        <w:t xml:space="preserve"> 对初次信访事项有下列情形之一的，有权处理机构可以适用简易办理程序，按照工作职责，简化程序，缩短时间，更加方便快捷的受理、办理。</w:t>
      </w:r>
    </w:p>
    <w:p w14:paraId="20282B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（一）事实清楚、责任明确、争议不大、易于解决的；</w:t>
      </w:r>
    </w:p>
    <w:p w14:paraId="07A48E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（二）提出咨询或意见建议、表达感谢，可以即时反馈的；</w:t>
      </w:r>
    </w:p>
    <w:p w14:paraId="17C1FB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（三）涉及群众日常生产生活、时效性强，应当即时处理的；</w:t>
      </w:r>
    </w:p>
    <w:p w14:paraId="6F64A9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（四）教育部门已有明确承诺或结论的；</w:t>
      </w:r>
    </w:p>
    <w:p w14:paraId="7BAE84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（五）其他适用简易办理的情形。</w:t>
      </w:r>
    </w:p>
    <w:p w14:paraId="72095B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第三十八条</w:t>
      </w:r>
      <w:r>
        <w:rPr>
          <w:rFonts w:hint="eastAsia" w:ascii="仿宋" w:hAnsi="仿宋" w:eastAsia="仿宋" w:cs="仿宋"/>
          <w:i w:val="0"/>
          <w:iCs w:val="0"/>
          <w:caps w:val="0"/>
          <w:color w:val="auto"/>
          <w:spacing w:val="0"/>
          <w:sz w:val="24"/>
          <w:szCs w:val="24"/>
          <w:shd w:val="clear" w:color="auto" w:fill="FFFFFF"/>
        </w:rPr>
        <w:t xml:space="preserve"> 对适用简易办理程序的信访事项，有权处理机构应自收到之日起3个工作日内决定是否受理。可当场作出决定的，应当当场告知信访人。</w:t>
      </w:r>
    </w:p>
    <w:p w14:paraId="48A514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对决定受理的信访事项，有权处理机构应当在受理之日起10个工作日内作出处理意见。可当场答复的，应当当场出具处理意见。</w:t>
      </w:r>
    </w:p>
    <w:p w14:paraId="05E994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对适用简易办理程序的信访事项，一般情形可以当面口头或通过网络、电话、手机短信等快捷方式告知或答复信访人。告知或答复情况应当录入信访信息系统。</w:t>
      </w:r>
    </w:p>
    <w:p w14:paraId="57EDA7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有权处理机构在办理过程中，发现不宜简易办理或简易办理未妥善解决的，应当经本机构负责人批准，按《信访条例》规定的普通程序继续办理，办理时限从按照简易办理程序受理之日起计算。</w:t>
      </w:r>
    </w:p>
    <w:p w14:paraId="5DECF6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第三十九条</w:t>
      </w:r>
      <w:r>
        <w:rPr>
          <w:rFonts w:hint="eastAsia" w:ascii="仿宋" w:hAnsi="仿宋" w:eastAsia="仿宋" w:cs="仿宋"/>
          <w:i w:val="0"/>
          <w:iCs w:val="0"/>
          <w:caps w:val="0"/>
          <w:color w:val="auto"/>
          <w:spacing w:val="0"/>
          <w:sz w:val="24"/>
          <w:szCs w:val="24"/>
          <w:shd w:val="clear" w:color="auto" w:fill="FFFFFF"/>
        </w:rPr>
        <w:t xml:space="preserve"> 对交办、转送的信访事项，信访工作机构或人员发现受理、办理情况有下列情形之一的，应当予以督办，提出改进建议：</w:t>
      </w:r>
    </w:p>
    <w:p w14:paraId="49052E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（一）应当受理而未受理信访事项的；</w:t>
      </w:r>
    </w:p>
    <w:p w14:paraId="026BB7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（二）无正当理由未按规定期限受理或办结信访事项的；</w:t>
      </w:r>
    </w:p>
    <w:p w14:paraId="01A8C4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（三）未按规定程序办理信访事项的；</w:t>
      </w:r>
    </w:p>
    <w:p w14:paraId="73B018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（四）办理信访事项推诿、敷衍、拖延或弄虚作假的；</w:t>
      </w:r>
    </w:p>
    <w:p w14:paraId="74A0FD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（五）不执行信访处理意见的；</w:t>
      </w:r>
    </w:p>
    <w:p w14:paraId="7CDF42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（六）未按规定反馈信访事项办理结果的；</w:t>
      </w:r>
    </w:p>
    <w:p w14:paraId="40B7AB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（七）其他需要督办的情形。</w:t>
      </w:r>
    </w:p>
    <w:p w14:paraId="65C33A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收到改进建议的单位应当在30日内书面反馈情况；未采纳改进建议的，应当说明理由。</w:t>
      </w:r>
    </w:p>
    <w:p w14:paraId="61C5C9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督办可以采用网络督办、电话督办、发函督办、约谈督办、实地督办等形式。</w:t>
      </w:r>
    </w:p>
    <w:p w14:paraId="6A8F12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第六章 责任追究</w:t>
      </w:r>
    </w:p>
    <w:p w14:paraId="4B0B3D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第四十条 </w:t>
      </w:r>
      <w:r>
        <w:rPr>
          <w:rFonts w:hint="eastAsia" w:ascii="仿宋" w:hAnsi="仿宋" w:eastAsia="仿宋" w:cs="仿宋"/>
          <w:i w:val="0"/>
          <w:iCs w:val="0"/>
          <w:caps w:val="0"/>
          <w:color w:val="auto"/>
          <w:spacing w:val="0"/>
          <w:sz w:val="24"/>
          <w:szCs w:val="24"/>
          <w:shd w:val="clear" w:color="auto" w:fill="FFFFFF"/>
        </w:rPr>
        <w:t>因下列情形之一导致信访事项发生，造成严重后果的，对直接负责的主管人员和其他直接责任人员依法依规给予处理或处分；构成犯罪的，依法追究刑事责任：</w:t>
      </w:r>
    </w:p>
    <w:p w14:paraId="0A6CD1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（一）应当作为而不作为，侵害信访人合法权益的；</w:t>
      </w:r>
    </w:p>
    <w:p w14:paraId="49C490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（二）超越或者滥用职权，侵害信访人合法权益的；</w:t>
      </w:r>
    </w:p>
    <w:p w14:paraId="3E11C6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（三）适用法律、法规错误或者违反法定程序，侵害信访人合法权益的；</w:t>
      </w:r>
    </w:p>
    <w:p w14:paraId="127202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（四）拒不执行有权处理部门作出的支持信访请求意见的。</w:t>
      </w:r>
    </w:p>
    <w:p w14:paraId="0C8046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第四十一条</w:t>
      </w:r>
      <w:r>
        <w:rPr>
          <w:rFonts w:hint="eastAsia" w:ascii="仿宋" w:hAnsi="仿宋" w:eastAsia="仿宋" w:cs="仿宋"/>
          <w:i w:val="0"/>
          <w:iCs w:val="0"/>
          <w:caps w:val="0"/>
          <w:color w:val="auto"/>
          <w:spacing w:val="0"/>
          <w:sz w:val="24"/>
          <w:szCs w:val="24"/>
          <w:shd w:val="clear" w:color="auto" w:fill="FFFFFF"/>
        </w:rPr>
        <w:t xml:space="preserve"> 在受理办理信访事项过程中，有下列行为之一的，由其上级主管部门责令改正；造成严重后果的，对直接负责的主管人员和其他直接责任人员依法依规给予处理或处分；构成犯罪的，依法追究刑事责任：</w:t>
      </w:r>
    </w:p>
    <w:p w14:paraId="7F1D67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（一）对收到的信访事项不按规定登记的；</w:t>
      </w:r>
    </w:p>
    <w:p w14:paraId="3F3C40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（二）对属于其法定职权范围的信访事项不予受理的；</w:t>
      </w:r>
    </w:p>
    <w:p w14:paraId="61D964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（三）未在规定期限内书面告知信访人是否受理信访事项的；</w:t>
      </w:r>
    </w:p>
    <w:p w14:paraId="0561F9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（四）推诿、敷衍、拖延信访事项办理或者未在法定期限内办结信访事项的；</w:t>
      </w:r>
    </w:p>
    <w:p w14:paraId="090928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（五）对事实清楚，符合</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、规章或者其他有关规定的投诉请求未予支持的；</w:t>
      </w:r>
    </w:p>
    <w:p w14:paraId="2356A2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（六）将信访人的检举、揭发材料或者有关情况透露、转给被检举、揭发的人员或者单位的；</w:t>
      </w:r>
    </w:p>
    <w:p w14:paraId="730715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（七）对可能造成社会影响的重大、紧急信访事项和信访信息，隐瞒、谎报、缓报，或者授意他人隐瞒、谎报、缓报的；</w:t>
      </w:r>
    </w:p>
    <w:p w14:paraId="07ED36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（八）作风粗暴，激化矛盾，或者打击报复信访人的。</w:t>
      </w:r>
    </w:p>
    <w:p w14:paraId="0A85DF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第四十二条</w:t>
      </w:r>
      <w:r>
        <w:rPr>
          <w:rFonts w:hint="eastAsia" w:ascii="仿宋" w:hAnsi="仿宋" w:eastAsia="仿宋" w:cs="仿宋"/>
          <w:i w:val="0"/>
          <w:iCs w:val="0"/>
          <w:caps w:val="0"/>
          <w:color w:val="auto"/>
          <w:spacing w:val="0"/>
          <w:sz w:val="24"/>
          <w:szCs w:val="24"/>
          <w:shd w:val="clear" w:color="auto" w:fill="FFFFFF"/>
        </w:rPr>
        <w:t xml:space="preserve"> 信访人在信访过程中实施下列行为之一，经劝阻、批评和教育无效的，教育部门应当报公安机关依法处置。</w:t>
      </w:r>
    </w:p>
    <w:p w14:paraId="5FDD1B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（一）在信访接待场所滞留、滋事，或者将生活不能自理的人弃留在信访接待场所的；</w:t>
      </w:r>
    </w:p>
    <w:p w14:paraId="71646C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（二）携带危险物品、管制器具，或者以自伤、自残、自杀、传播传染病相要挟，或者扬言实施杀人、放火、爆炸、投放危险物质的；</w:t>
      </w:r>
    </w:p>
    <w:p w14:paraId="249046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（三）在教育部门办公场所周围、公共场所非法聚集、打横幅、举标语、喊口号、穿状衣，围堵、冲击教育部门，拦截公务车辆，或者堵塞、阻断交通、扰乱教育教学公共秩序的；</w:t>
      </w:r>
    </w:p>
    <w:p w14:paraId="387835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（四）侮辱、殴打、威胁教育部门工作人员，或者非法限制他人人身自由的；</w:t>
      </w:r>
    </w:p>
    <w:p w14:paraId="104C7A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（五）捏造歪曲事实、诬告陷害他人，或者煽动、串联、胁迫、以财物诱使、幕后操纵他人信访，或者以信访为名借机敛财的；</w:t>
      </w:r>
    </w:p>
    <w:p w14:paraId="684D61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（六）其他扰乱信访秩序的行为。</w:t>
      </w:r>
    </w:p>
    <w:p w14:paraId="575543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i w:val="0"/>
          <w:iCs w:val="0"/>
          <w:caps w:val="0"/>
          <w:color w:val="auto"/>
          <w:spacing w:val="0"/>
          <w:sz w:val="24"/>
          <w:szCs w:val="24"/>
        </w:rPr>
      </w:pPr>
      <w:r>
        <w:rPr>
          <w:rStyle w:val="14"/>
          <w:rFonts w:hint="eastAsia" w:ascii="黑体" w:hAnsi="黑体" w:eastAsia="黑体" w:cs="黑体"/>
          <w:i w:val="0"/>
          <w:iCs w:val="0"/>
          <w:caps w:val="0"/>
          <w:color w:val="auto"/>
          <w:spacing w:val="0"/>
          <w:sz w:val="24"/>
          <w:szCs w:val="24"/>
          <w:shd w:val="clear" w:color="auto" w:fill="FFFFFF"/>
        </w:rPr>
        <w:t>第七章 附则</w:t>
      </w:r>
    </w:p>
    <w:p w14:paraId="48AB05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第四十三条 </w:t>
      </w:r>
      <w:r>
        <w:rPr>
          <w:rFonts w:hint="eastAsia" w:ascii="仿宋" w:hAnsi="仿宋" w:eastAsia="仿宋" w:cs="仿宋"/>
          <w:i w:val="0"/>
          <w:iCs w:val="0"/>
          <w:caps w:val="0"/>
          <w:color w:val="auto"/>
          <w:spacing w:val="0"/>
          <w:sz w:val="24"/>
          <w:szCs w:val="24"/>
          <w:shd w:val="clear" w:color="auto" w:fill="FFFFFF"/>
        </w:rPr>
        <w:t>各级各类学校信访工作适用本办法。对外国人、无国籍人、外国组织向教育部门提出的信访事项，参照本办法执行。</w:t>
      </w:r>
    </w:p>
    <w:p w14:paraId="5DBCB7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 xml:space="preserve">第四十四条 </w:t>
      </w:r>
      <w:r>
        <w:rPr>
          <w:rFonts w:hint="eastAsia" w:ascii="仿宋" w:hAnsi="仿宋" w:eastAsia="仿宋" w:cs="仿宋"/>
          <w:i w:val="0"/>
          <w:iCs w:val="0"/>
          <w:caps w:val="0"/>
          <w:color w:val="auto"/>
          <w:spacing w:val="0"/>
          <w:sz w:val="24"/>
          <w:szCs w:val="24"/>
          <w:shd w:val="clear" w:color="auto" w:fill="FFFFFF"/>
        </w:rPr>
        <w:t>本办法由教育部负责解释。</w:t>
      </w:r>
    </w:p>
    <w:p w14:paraId="197131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第四十五条</w:t>
      </w:r>
      <w:r>
        <w:rPr>
          <w:rFonts w:hint="eastAsia" w:ascii="仿宋" w:hAnsi="仿宋" w:eastAsia="仿宋" w:cs="仿宋"/>
          <w:i w:val="0"/>
          <w:iCs w:val="0"/>
          <w:caps w:val="0"/>
          <w:color w:val="auto"/>
          <w:spacing w:val="0"/>
          <w:sz w:val="24"/>
          <w:szCs w:val="24"/>
          <w:shd w:val="clear" w:color="auto" w:fill="FFFFFF"/>
        </w:rPr>
        <w:t xml:space="preserve"> 本办法自印发之日起施行。2007年7月3日教育部印发的《教育信访工作规定（2007年修订）》（教办〔2007〕6号）同时废止。</w:t>
      </w:r>
    </w:p>
    <w:p w14:paraId="41B3D8B2">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773557EC">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5FE89E33">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5CE4FD6C">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2E10B75B">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5A9441AC">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61C6AAF7">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5EC793C5">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4CE2A4A7">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0812FF6A">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5CCE2AF7">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07F27AEC">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4580E4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r>
        <w:rPr>
          <w:rFonts w:hint="eastAsia" w:ascii="宋体" w:hAnsi="宋体" w:eastAsia="宋体" w:cs="宋体"/>
          <w:i w:val="0"/>
          <w:iCs w:val="0"/>
          <w:caps w:val="0"/>
          <w:color w:val="auto"/>
          <w:spacing w:val="0"/>
          <w:sz w:val="36"/>
          <w:szCs w:val="36"/>
        </w:rPr>
        <w:br w:type="page"/>
      </w:r>
      <w:bookmarkStart w:id="54" w:name="_Toc12577"/>
      <w:bookmarkStart w:id="55" w:name="_Toc28122"/>
      <w:r>
        <w:rPr>
          <w:rFonts w:hint="eastAsia" w:ascii="宋体" w:hAnsi="宋体" w:eastAsia="宋体" w:cs="宋体"/>
          <w:i w:val="0"/>
          <w:iCs w:val="0"/>
          <w:caps w:val="0"/>
          <w:color w:val="auto"/>
          <w:spacing w:val="0"/>
          <w:sz w:val="36"/>
          <w:szCs w:val="36"/>
        </w:rPr>
        <w:t>财政部 教育部关于印发《高等学校财务制度》的通知</w:t>
      </w:r>
      <w:bookmarkEnd w:id="54"/>
      <w:bookmarkEnd w:id="55"/>
    </w:p>
    <w:p w14:paraId="3AD4F6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财教〔2022〕128号</w:t>
      </w:r>
    </w:p>
    <w:p w14:paraId="3306B9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党中央有关部门，国务院有关部委、有关直属机构，各省、自治区、直辖市、计划单列市财政厅（局）、教育厅（教委、教育局），新疆生产建设兵团财政局、教育局：</w:t>
      </w:r>
    </w:p>
    <w:p w14:paraId="40CA94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为进一步规范高等学校财务行为，加强财务管理和监督，提高资金使用效益，促进高等教育事业健康发展，根据《事业单位财务规则》（财政部令第108号），财政部会同教育部对《高等学校财务制度》进行了修订。现印发给你们，请遵照执行。</w:t>
      </w:r>
    </w:p>
    <w:p w14:paraId="123DED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rPr>
      </w:pPr>
    </w:p>
    <w:p w14:paraId="76AB36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u w:val="none"/>
        </w:rPr>
      </w:pPr>
      <w:r>
        <w:rPr>
          <w:rFonts w:hint="eastAsia" w:ascii="仿宋" w:hAnsi="仿宋" w:eastAsia="仿宋" w:cs="仿宋"/>
          <w:i w:val="0"/>
          <w:iCs w:val="0"/>
          <w:caps w:val="0"/>
          <w:color w:val="auto"/>
          <w:spacing w:val="0"/>
          <w:sz w:val="24"/>
          <w:szCs w:val="24"/>
        </w:rPr>
        <w:t>附件：</w:t>
      </w:r>
      <w:r>
        <w:rPr>
          <w:rFonts w:hint="eastAsia" w:ascii="仿宋" w:hAnsi="仿宋" w:eastAsia="仿宋" w:cs="仿宋"/>
          <w:i w:val="0"/>
          <w:iCs w:val="0"/>
          <w:caps w:val="0"/>
          <w:color w:val="auto"/>
          <w:spacing w:val="0"/>
          <w:sz w:val="24"/>
          <w:szCs w:val="24"/>
          <w:u w:val="none"/>
        </w:rPr>
        <w:fldChar w:fldCharType="begin"/>
      </w:r>
      <w:r>
        <w:rPr>
          <w:rFonts w:hint="eastAsia" w:ascii="仿宋" w:hAnsi="仿宋" w:eastAsia="仿宋" w:cs="仿宋"/>
          <w:i w:val="0"/>
          <w:iCs w:val="0"/>
          <w:caps w:val="0"/>
          <w:color w:val="auto"/>
          <w:spacing w:val="0"/>
          <w:sz w:val="24"/>
          <w:szCs w:val="24"/>
          <w:u w:val="none"/>
        </w:rPr>
        <w:instrText xml:space="preserve"> HYPERLINK "http://www.moe.gov.cn/jyb_xxgk/moe_1777/moe_1779/202208/W020220801332395249360.pdf" \t "http://www.moe.gov.cn/jyb_xxgk/moe_1777/moe_1779/202208/_blank" </w:instrText>
      </w:r>
      <w:r>
        <w:rPr>
          <w:rFonts w:hint="eastAsia" w:ascii="仿宋" w:hAnsi="仿宋" w:eastAsia="仿宋" w:cs="仿宋"/>
          <w:i w:val="0"/>
          <w:iCs w:val="0"/>
          <w:caps w:val="0"/>
          <w:color w:val="auto"/>
          <w:spacing w:val="0"/>
          <w:sz w:val="24"/>
          <w:szCs w:val="24"/>
          <w:u w:val="none"/>
        </w:rPr>
        <w:fldChar w:fldCharType="separate"/>
      </w:r>
      <w:r>
        <w:rPr>
          <w:rStyle w:val="15"/>
          <w:rFonts w:hint="eastAsia" w:ascii="仿宋" w:hAnsi="仿宋" w:eastAsia="仿宋" w:cs="仿宋"/>
          <w:i w:val="0"/>
          <w:iCs w:val="0"/>
          <w:caps w:val="0"/>
          <w:color w:val="auto"/>
          <w:spacing w:val="0"/>
          <w:sz w:val="24"/>
          <w:szCs w:val="24"/>
          <w:u w:val="none"/>
        </w:rPr>
        <w:t>高等学校财务制度</w:t>
      </w:r>
      <w:r>
        <w:rPr>
          <w:rFonts w:hint="eastAsia" w:ascii="仿宋" w:hAnsi="仿宋" w:eastAsia="仿宋" w:cs="仿宋"/>
          <w:i w:val="0"/>
          <w:iCs w:val="0"/>
          <w:caps w:val="0"/>
          <w:color w:val="auto"/>
          <w:spacing w:val="0"/>
          <w:sz w:val="24"/>
          <w:szCs w:val="24"/>
          <w:u w:val="none"/>
        </w:rPr>
        <w:fldChar w:fldCharType="end"/>
      </w:r>
    </w:p>
    <w:p w14:paraId="0C1E5D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u w:val="none"/>
        </w:rPr>
      </w:pPr>
    </w:p>
    <w:p w14:paraId="38DB04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u w:val="none"/>
        </w:rPr>
      </w:pPr>
    </w:p>
    <w:p w14:paraId="0F6673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财政部 教育部</w:t>
      </w:r>
    </w:p>
    <w:p w14:paraId="515508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2022年6月30日</w:t>
      </w:r>
    </w:p>
    <w:p w14:paraId="49E558A3">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4C45FB57">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1599C7F7">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650B2BA0">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3A268C41">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1CE78169">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2589B583">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3619952D">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24BAC878">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764129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b/>
          <w:bCs/>
          <w:i w:val="0"/>
          <w:iCs w:val="0"/>
          <w:caps w:val="0"/>
          <w:color w:val="auto"/>
          <w:spacing w:val="0"/>
          <w:sz w:val="36"/>
          <w:szCs w:val="36"/>
          <w:shd w:val="clear" w:color="auto" w:fill="FFFFFF"/>
          <w:lang w:val="en-US" w:eastAsia="zh-CN"/>
        </w:rPr>
      </w:pPr>
      <w:r>
        <w:rPr>
          <w:rFonts w:hint="eastAsia" w:ascii="宋体" w:hAnsi="宋体" w:eastAsia="宋体" w:cs="宋体"/>
          <w:b/>
          <w:bCs/>
          <w:i w:val="0"/>
          <w:iCs w:val="0"/>
          <w:caps w:val="0"/>
          <w:color w:val="auto"/>
          <w:spacing w:val="0"/>
          <w:sz w:val="36"/>
          <w:szCs w:val="36"/>
          <w:shd w:val="clear" w:color="auto" w:fill="FFFFFF"/>
        </w:rPr>
        <w:br w:type="page"/>
      </w:r>
      <w:r>
        <w:rPr>
          <w:rFonts w:hint="eastAsia" w:ascii="黑体" w:hAnsi="黑体" w:eastAsia="黑体" w:cs="黑体"/>
          <w:b/>
          <w:bCs/>
          <w:i w:val="0"/>
          <w:iCs w:val="0"/>
          <w:caps w:val="0"/>
          <w:color w:val="auto"/>
          <w:spacing w:val="0"/>
          <w:sz w:val="24"/>
          <w:szCs w:val="24"/>
          <w:shd w:val="clear" w:color="auto" w:fill="FFFFFF"/>
          <w:lang w:val="en-US" w:eastAsia="zh-CN"/>
        </w:rPr>
        <w:t>附件</w:t>
      </w:r>
    </w:p>
    <w:p w14:paraId="7AF932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sz w:val="36"/>
          <w:szCs w:val="36"/>
          <w:shd w:val="clear" w:color="auto" w:fill="FFFFFF"/>
        </w:rPr>
        <w:t>高等学校财务制度</w:t>
      </w:r>
    </w:p>
    <w:p w14:paraId="1C1859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第一章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总则</w:t>
      </w:r>
    </w:p>
    <w:p w14:paraId="40CB0B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了进一步规范高等学校财务行为，加强财务管理和监督，提升财务治理能力和水平，提高资金使用效益，促进高等教育事业健康发展，根据《事业单位财务规则》（财政部令第108号）和国家有关法律制度，结合高等学校特点，制定本制度。</w:t>
      </w:r>
    </w:p>
    <w:p w14:paraId="546528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本制度适用于各级人民政府举办的全日制普通高等学校、成人高等学校（以下统称高等学校）。其他社会组织和个人举办的上述学校可以参照本制度执行。</w:t>
      </w:r>
    </w:p>
    <w:p w14:paraId="2B47D7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高等学校财务管理的基本原则是：执行国家有关</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和财务规章制度；坚持勤俭办学的方针；正确处理事业发展需要和资金供给的关系，社会效益和经济效益的关系，国家、学校和个人三者利益的关系。</w:t>
      </w:r>
    </w:p>
    <w:p w14:paraId="3606CC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财务管理的主要任务是：合理编制学校预算，严格预算执行，完整、准确编制学校决算报告和财务报告，真实反映学校预算执行情况、财务状况和运行情况；依法多渠道筹集资金，努力节约支出；建立健全学校财务制度，加强经济核算，全面实施绩效管理，提高资金使用效益；加强资产管理，真实完整地反映资产使用状况，合理配置和有效利用资产，防止资产流失；建立健全内部控制体系，加强对学校经济活动的财务控制和监督，防范财务风险。</w:t>
      </w:r>
    </w:p>
    <w:p w14:paraId="3C23A2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高等学校的各项经济业务事项按照国家统一的会计制度进行会计核算。</w:t>
      </w:r>
    </w:p>
    <w:p w14:paraId="3CA054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第二章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财务管理体制</w:t>
      </w:r>
    </w:p>
    <w:p w14:paraId="258802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高等学校实行“统一领导、集中管理”的财务管理体制；规模较大的学校可以实行“统一领导、分级管理”的财务管理体制。</w:t>
      </w:r>
    </w:p>
    <w:p w14:paraId="247C3F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高等学校财务工作实行党委领导下的校（院）长负责制。高等学校应当在校级行政领导班子设置总会计师岗位或配备具有财务管理背景的副校级行政领导成员，协助校（院）长管理学校财务工作。</w:t>
      </w:r>
    </w:p>
    <w:p w14:paraId="100B3D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高等学校应当单独设置一级财务机构，配备专业化一级财务机构负责人，在校（院）长和分管领导的领导下，统一管理学校财务工作。</w:t>
      </w:r>
    </w:p>
    <w:p w14:paraId="4F2FE6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高等学校校内非独立法人单位因工作需要设置的财务机构，应当作为学校的二级财务机构。二级财务机构应当遵守和执行学校统一制定的财务规章制度，并接受学校一级财务机构的统一领导、监督和检查。</w:t>
      </w:r>
    </w:p>
    <w:p w14:paraId="7087A2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财务机构应当配备专职财务、会计人员。财务、会计人员应当具备与其工作岗位相适应的专业能力。财务、会计人员的调入、调出、专业技术职务评聘，应当由学校一级财务机构会同有关部门办理。校内二级财务机构负责人的任免、调动或者撤换，应当征求学校一级财务机构意见。</w:t>
      </w:r>
    </w:p>
    <w:p w14:paraId="3A6969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第三章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预算管理</w:t>
      </w:r>
    </w:p>
    <w:p w14:paraId="31D621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高等学校预算是指高等学校根据事业发展目标和计划编制的年度财务收支计划。</w:t>
      </w:r>
    </w:p>
    <w:p w14:paraId="7D30B0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高等学校预算由收入预算和支出预算组成。</w:t>
      </w:r>
    </w:p>
    <w:p w14:paraId="6800E7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国家对高等学校实行核定收支、定额或者定项补助、超支不补、结转和结余按规定使用的预算管理办法。</w:t>
      </w:r>
    </w:p>
    <w:p w14:paraId="23736A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定额和定项补助根据国家有关政策和财力可能，结合学校改革要求、事业特点、事业发展目标和计划、学校收支及资产状况等确定。</w:t>
      </w:r>
    </w:p>
    <w:p w14:paraId="09DDC2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高等学校预算编制应当遵循“量入为出、收支平衡”的原则。收入预算编制应当积极稳妥；支出预算编制应当统筹兼顾、保证重点、勤俭节约。</w:t>
      </w:r>
    </w:p>
    <w:p w14:paraId="366560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参考以前年度预算执行、预算绩效评价结果、结转和结余情况，根据国家宏观调控总体要求、预算年度事业发展目标、计划与财力可能，以及年度收支增减因素和措施，按照预算编制的规定编制预算草案。</w:t>
      </w:r>
    </w:p>
    <w:p w14:paraId="066761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高等学校预算应当自求收支平衡，不得编制赤字预算。</w:t>
      </w:r>
    </w:p>
    <w:p w14:paraId="63BCC3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一级财务机构提出预算建议方案，经学校领导班子集体审议通过后，上报主管部门，经主管部门审核汇总报财政部门（一级预算单位直接报财政部门，下同）。高等学校根据财政部门下达的预算控制数编制预算草案，由主管部门审核汇总报财政部门，经法定程序审核批复后执行。</w:t>
      </w:r>
    </w:p>
    <w:p w14:paraId="4C5C5D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严格执行批准的预算。预算执行中，国家对财政补助收入和财政专户管理资金的预算一般不予调剂，确需调剂的，由高等学校报主管部门审核后报财政部门调剂；其他资金确需调剂的，按照国家有关规定办理。</w:t>
      </w:r>
    </w:p>
    <w:p w14:paraId="2675B4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高等学校决算是指高等学校预算收支和结余的年度执行结果。</w:t>
      </w:r>
    </w:p>
    <w:p w14:paraId="5FD157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高等学校应当按照规定编制年度决算草案，由主管部门审核汇总后报财政部门审批。</w:t>
      </w:r>
    </w:p>
    <w:p w14:paraId="437A56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高等学校应当加强决算审核和分析，保证决算数据的真实、准确，规范决算管理工作。</w:t>
      </w:r>
    </w:p>
    <w:p w14:paraId="2128EE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高等学校应当全面加强预算绩效管理，提高资金使用效益。</w:t>
      </w:r>
    </w:p>
    <w:p w14:paraId="20BD43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第四章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收入管理</w:t>
      </w:r>
    </w:p>
    <w:p w14:paraId="52B19B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收入是指高等学校开展教学、科研及其他活动依法取得的非偿还性资金。</w:t>
      </w:r>
    </w:p>
    <w:p w14:paraId="5A66BA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高等学校收入包括：</w:t>
      </w:r>
    </w:p>
    <w:p w14:paraId="69752E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（一）财政补助收入，即高等学校从本级财政部门取得的各类财政拨款。包括：</w:t>
      </w:r>
    </w:p>
    <w:p w14:paraId="3FC33F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1.财政教育拨款，即高等学校从本级财政部门取得的各类财政教育拨款。</w:t>
      </w:r>
    </w:p>
    <w:p w14:paraId="16BE95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2.财政科研拨款，即高等学校从本级财政部门取得的各类财政科研拨款。</w:t>
      </w:r>
    </w:p>
    <w:p w14:paraId="1B466A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3.财政其他拨款，即高等学校从本级财政部门取得的本条上述拨款范围以外的财政拨款。</w:t>
      </w:r>
    </w:p>
    <w:p w14:paraId="1B3C5C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（二）事业收入，即高等学校开展教学、科研及其辅助活动取得的收入。包括：</w:t>
      </w:r>
    </w:p>
    <w:p w14:paraId="44FF0A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1.教育事业收入，指高等学校开展教学及其辅助活动所取得的收入，包括：通过学历和非学历教育向学生个人或者单位收取的学费、住宿费、委托培养费、考试考务费、培训费和其他教育事业收入。</w:t>
      </w:r>
    </w:p>
    <w:p w14:paraId="063948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按照国家有关规定应当上缴国库或者财政专户的资金，不计入教育事业收入；从财政专户核拨给学校的资金和经核准不上缴国库或财政专户的资金，计入教育事业收入。</w:t>
      </w:r>
    </w:p>
    <w:p w14:paraId="06EBB6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2.科研事业收入，指高等学校开展科研及其辅助活动所取得的收入，包括：通过承接科研项目、开展科研协作、进行科技咨询等取得的收入。科研事业收入不包括按照部门预算隶属关系从本级财政部门取得的财政拨款。</w:t>
      </w:r>
    </w:p>
    <w:p w14:paraId="72395D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（三）上级补助收入，即高等学校从主管部门和上级单位取得的非财政补助收入。</w:t>
      </w:r>
    </w:p>
    <w:p w14:paraId="024B96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（四）附属单位上缴收入，即高等学校附属独立核算单位按照有关规定上缴的收入。</w:t>
      </w:r>
    </w:p>
    <w:p w14:paraId="176A79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（五）经营收入，即高等学校在教学、科研及其辅助活动之外，开展非独立核算经营活动取得的收入。</w:t>
      </w:r>
    </w:p>
    <w:p w14:paraId="4D6533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（六）其他收入，即本条上述规定范围以外的各项收入，包括投资收益、利息收入、捐赠收入、非本级财政补助收入等。</w:t>
      </w:r>
    </w:p>
    <w:p w14:paraId="557E98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高等学校组织收入应当合法合规。各项收费应当严格执行国家规定的收费范围和标准，并使用合法票据；各项收入应当全部纳入学校预算，统一核算，统一管理，未纳入预算的收入不得安排支出。</w:t>
      </w:r>
    </w:p>
    <w:p w14:paraId="679C15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高等学校对按照规定上缴国库或者财政专户的资金，应当按照国库集中收缴的有关规定及时足额上缴，不得隐瞒、滞留、截留、占用、挪用、拖欠或坐支。</w:t>
      </w:r>
    </w:p>
    <w:p w14:paraId="6E3E8B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第五章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支出管理</w:t>
      </w:r>
    </w:p>
    <w:p w14:paraId="25F87C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支出是指高等学校开展教学、科研及其他活动发生的资金耗费和损失。</w:t>
      </w:r>
    </w:p>
    <w:p w14:paraId="6BB3FE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高等学校支出包括：</w:t>
      </w:r>
    </w:p>
    <w:p w14:paraId="0B62D0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（一）事业支出，即高等学校开展教学、科研及其辅助活动发生的基本支出和项目支出。</w:t>
      </w:r>
    </w:p>
    <w:p w14:paraId="4D645E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基本支出，是指高等学校为保障其正常运转、完成教学科研和其他日常工作任务所发生的支出，包括人员经费和公用经费；项目支出，是指高等学校为完成其特定的工作任务和事业发展目标所发生的支出。</w:t>
      </w:r>
    </w:p>
    <w:p w14:paraId="6EF8F2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（二）经营支出，即高等学校在教学、科研及其辅助活动之外开展非独立核算经营活动发生的支出。经营支出应当与经营收入配比。</w:t>
      </w:r>
    </w:p>
    <w:p w14:paraId="32147B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（三）对附属单位补助支出，即高等学校用财政补助收入之外的收入对附属单位补助发生的支出。</w:t>
      </w:r>
    </w:p>
    <w:p w14:paraId="60FD63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（四）上缴上级支出，即高等学校按照财政部门和主管部门的规定上缴上级单位的支出。</w:t>
      </w:r>
    </w:p>
    <w:p w14:paraId="7AB986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（五）其他支出，即本条上述规定范围以外的各项支出。包括利息支出、捐赠支出等。</w:t>
      </w:r>
    </w:p>
    <w:p w14:paraId="09374F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高等学校应当将各项支出全部纳入学校预算，实行项目库管理，建立健全支出管理制度，未纳入预算项目库的项目一律不得安排预算。</w:t>
      </w:r>
    </w:p>
    <w:p w14:paraId="5AC802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加强支出管理，厉行节约，不得虚列虚报。高等学校的支出应当严格执行国家有关财务规章制度规定的开支范围及开支标准，国家有关财务规章制度没有统一规定的，由学校结合本校情况规定，报主管部门和财政部门备案。高等学校的规定违反法律制度和国家政策的，主管部门和财政部门应当责令改正。</w:t>
      </w:r>
    </w:p>
    <w:p w14:paraId="08E7AC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高等学校从财政部门和主管部门取得的有指定项目和用途的专项资金，应当专款专用、单独核算，并按照规定报送专项资金使用情况的报告，接受财政部门或者主管部门检查、验收。</w:t>
      </w:r>
    </w:p>
    <w:p w14:paraId="131C43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高等学校应当加强经济核算，可以根据开展教学、科研业务活动及其他活动的实际需要，实行成本核算。成本核算的具体办法按照国务院财政部门相关规定执行。</w:t>
      </w:r>
    </w:p>
    <w:p w14:paraId="029B20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高等学校应当严格执行国库集中支付制度和政府采购制度等有关规定。</w:t>
      </w:r>
    </w:p>
    <w:p w14:paraId="200DA5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高等学校应当依法加强各类票据管理，确保票据来源合法、内容真实、使用正确，不得使用虚假票据。</w:t>
      </w:r>
    </w:p>
    <w:p w14:paraId="0B5F0B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第六章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结转和结余管理</w:t>
      </w:r>
    </w:p>
    <w:p w14:paraId="244761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结转和结余是指高等学校年度收入与支出相抵后的余额。</w:t>
      </w:r>
    </w:p>
    <w:p w14:paraId="5136FC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结转资金是指当年预算已执行但未完成，或者因故未执行，下一年度需要按照原用途继续使用的资金。结余资金是指当年预算工作目标已完成，或者因故终止，当年剩余的资金。</w:t>
      </w:r>
    </w:p>
    <w:p w14:paraId="547633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经营收支结转和结余应当单独反映。</w:t>
      </w:r>
    </w:p>
    <w:p w14:paraId="7BB5A4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高等学校财政拨款结转和结余的管理，应当按照国家有关规定执行。</w:t>
      </w:r>
    </w:p>
    <w:p w14:paraId="07F6E4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高等学校非财政拨款结转按照规定结转下一年度继续使用。非财政拨款结余可以按照国家有关规定提取职工福利基金，剩余部分用于弥补以后年度单位收支差额；国家另有规定的，从其规定。</w:t>
      </w:r>
    </w:p>
    <w:p w14:paraId="67D9B8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高等学校应当加强非财政拨款结余的管理，盘活存量，统筹安排、合理使用，支出不得超出非财政拨款结余规模。</w:t>
      </w:r>
    </w:p>
    <w:p w14:paraId="50E7C04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 w:hAnsi="仿宋" w:eastAsia="仿宋" w:cs="仿宋"/>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第七章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专用基金管理</w:t>
      </w:r>
    </w:p>
    <w:p w14:paraId="0270BF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专用基金是指高等学校按照规定提取或者设置的有专门用途的资金。</w:t>
      </w:r>
    </w:p>
    <w:p w14:paraId="79A7F5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专用基金管理应当遵循先提后用、专款专用的原则，支出不得超出基金规模。</w:t>
      </w:r>
    </w:p>
    <w:p w14:paraId="31FC51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专用基金包括：职工福利基金、学生奖助基金和其他专用基金。</w:t>
      </w:r>
    </w:p>
    <w:p w14:paraId="5AA438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（一）职工福利基金，是指按照非财政拨款结余的一定比例提取以及按照其他规定提取转入，用于单位职工的集体福利设施、集体福利待遇等的资金。</w:t>
      </w:r>
    </w:p>
    <w:p w14:paraId="1167E8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学生奖助基金，是指按照国家有关规定，按照事业收入的一定比例提取，在事业支出的相关科目中列支，用于学费减免、国家助学贷款风险补偿、勤工助学、校内无息借款、校内奖助学金和特殊困难补助等的资金。</w:t>
      </w:r>
    </w:p>
    <w:p w14:paraId="607433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（三）其他专用基金，是指按照其他有关规定，根据事业发展需要提取或者设置的其他专用资金，包括留本基金等。</w:t>
      </w:r>
    </w:p>
    <w:p w14:paraId="4B2D6D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将专用基金纳入预算管理，结合实际需要按照规定提取，保持合理规模，提高使用效益。专用基金余额较多的，应当降低提取比例或者暂停提取；确需调整用途的，由主管部门会同本级财政部门确定。</w:t>
      </w:r>
    </w:p>
    <w:p w14:paraId="4ED557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各项基金的提取比例和管理办法，国家有统一规定的，按照统一规定执行；没有统一规定的，由主管部门会同本级财政部门确定。</w:t>
      </w:r>
    </w:p>
    <w:p w14:paraId="0D6CC8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第八章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资产管理</w:t>
      </w:r>
    </w:p>
    <w:p w14:paraId="01D705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资产是指高等学校依法直接支配的各类经济资源。</w:t>
      </w:r>
    </w:p>
    <w:p w14:paraId="6C104F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高等学校的资产包括流动资产、固定资产、在建工程、无形资产、对外投资、公共基础设施、政府储备物资、文物文化资产、保障性住房等。</w:t>
      </w:r>
    </w:p>
    <w:p w14:paraId="1EB933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建立健全单位资产管理制度，明确资产使用人和管理人的岗位责任，按照国家规定设置国有资产台账，加强和规范资产配置、使用和处置管理，维护资产安全完整，提高资产使用效率。涉及资产评估的，按照国家有关规定执行。</w:t>
      </w:r>
    </w:p>
    <w:p w14:paraId="188158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高等学校应当汇总编制本单位行政事业性国有资产管理情况报告。</w:t>
      </w:r>
    </w:p>
    <w:p w14:paraId="0A26DF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高等学校应当定期或者不定期对资产进行盘点、对账。出现资产盘盈盘亏的，应当按照财务、会计和资产管理制度有关规定处理，做到账实相符和账账相符。</w:t>
      </w:r>
    </w:p>
    <w:p w14:paraId="3DB13F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高等学校对需要办理权属登记的资产应当依法及时办理。</w:t>
      </w:r>
    </w:p>
    <w:p w14:paraId="43C6EF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高等学校应当根据依法履行职能和事业发展的需要，结合资产存量、资产配置标准、绩效目标和财政承受能力配置资产。优先通过调剂方式配置资产。不能调剂的，可以采用购置、建设、租用等方式。</w:t>
      </w:r>
    </w:p>
    <w:p w14:paraId="3D8DF8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流动资产是指可以在一年以内变现或者耗用的资产，包括现金、各种存款、应收及预付款项、存货等。</w:t>
      </w:r>
    </w:p>
    <w:p w14:paraId="7DB1F5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前款所称存货是指高等学校在开展教学、科研及其他活动中为耗用或出售而储存的资产，包括各类材料、燃料、包装物和低值易耗品以及未达到固定资产标准的用具、装具、动植物等。</w:t>
      </w:r>
    </w:p>
    <w:p w14:paraId="3DD1BF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高等学校货币性资产损失核销，应当按规定经主管部门审核同意后报本级财政部门审批。</w:t>
      </w:r>
    </w:p>
    <w:p w14:paraId="5A45E9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固定资产是指使用期限超过一年，单位价值在1000元以上，并在使用过程中基本保持原有物质形态的资产。单位价值虽未达到规定标准，但是耐用时间在一年以上的大批同类物资，作为固定资产管理。</w:t>
      </w:r>
    </w:p>
    <w:p w14:paraId="12A102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高等学校的固定资产明细目录由国务院教育行政主管部门制定，报国务院财政部门备案。</w:t>
      </w:r>
    </w:p>
    <w:p w14:paraId="7FB7B28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在建工程是指已经发生必要支出，但尚未达到交付使用状态的建设工程。</w:t>
      </w:r>
    </w:p>
    <w:p w14:paraId="79FA3C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在建工程达到交付使用状态时，应当按照规定办理工程竣工财务决算和资产交付使用，期限最长不得超过1年。</w:t>
      </w:r>
    </w:p>
    <w:p w14:paraId="41B71A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无形资产是指不具有实物形态而能为使用者提供某种权利的资产，包括专利权、商标权、著作权、土地使用权、非专利技术以及其他财产权利。</w:t>
      </w:r>
    </w:p>
    <w:p w14:paraId="4962E0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高等学校转让无形资产取得的收入、取得无形资产发生的支出，应当按照国家有关规定处理。</w:t>
      </w:r>
    </w:p>
    <w:p w14:paraId="662A4C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高等学校对其持有的科技成果，可按规定自主决定转让、许可或者作价投资，转化科技成果所获得的收入全部留归本单位。</w:t>
      </w:r>
    </w:p>
    <w:p w14:paraId="66502F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对外投资是指高等学校依法利用货币资金、实物、无形资产等方式向其他单位的投资。</w:t>
      </w:r>
    </w:p>
    <w:p w14:paraId="6BAA23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应当严格控制对外投资，利用国有资产对外投资应当有利于事业发展和实现国有资产保值增值，符合国家有关规定，经可行性研究和集体决策，按照规定的权限和程序进行。高等学校不得使用财政拨款及其结余进行对外投资，不得从事股票、期货、基金、企业债券等投资。国家另有规定的除外。</w:t>
      </w:r>
    </w:p>
    <w:p w14:paraId="37CD7B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高等学校应当明确对外投资形成的股权及其相关权益管理责任，按照国家有关规定将对外投资形成的股权纳入经营性国有资产集中统一监管体系。</w:t>
      </w:r>
    </w:p>
    <w:p w14:paraId="075C38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公共基础设施、政府储备物资、文物文化资产、保障性住房等资产管理的具体办法，由国务院财政部门会同有关部门制定。</w:t>
      </w:r>
    </w:p>
    <w:p w14:paraId="47B88C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高等学校资产处置应当遵循公开、公平、公正和竞争、择优的原则，严格履行相关审批程序。</w:t>
      </w:r>
    </w:p>
    <w:p w14:paraId="2C8433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高等学校出租、出借资产，应当按照国家有关规定严格履行相关审批程序。</w:t>
      </w:r>
    </w:p>
    <w:p w14:paraId="7DA9F6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高等学校应当在确保安全使用的前提下，推进本单位大型设备等国有资产共享共用工作，可以对提供方给予合理补偿。</w:t>
      </w:r>
    </w:p>
    <w:p w14:paraId="50999B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第九章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负债管理</w:t>
      </w:r>
    </w:p>
    <w:p w14:paraId="0D5BE2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负债是指高等学校所承担的能以货币计量，需要以资产或劳务偿还的债务。</w:t>
      </w:r>
    </w:p>
    <w:p w14:paraId="65BF81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高等学校的负债包括借入款项、应付款项、暂存款项、应缴款项等。</w:t>
      </w:r>
    </w:p>
    <w:p w14:paraId="027951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借入款项是指高等学校向银行等金融机构借入的各类款项。</w:t>
      </w:r>
    </w:p>
    <w:p w14:paraId="6A0E59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应付款项包括高等学校应付职工薪酬、应付票据、应付账款和其他应付款等款项。</w:t>
      </w:r>
    </w:p>
    <w:p w14:paraId="31CE4B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暂存款项包括预收账款等款项。</w:t>
      </w:r>
    </w:p>
    <w:p w14:paraId="4DD1D1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应缴款项包括高等学校按照国家有关规定收取的应当上缴国库或者财政专户的资金、应缴税费，以及其他应当上缴的款项。</w:t>
      </w:r>
    </w:p>
    <w:p w14:paraId="72DC10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高等学校应当对不同性质的负债分类管理，及时清理并按照规定办理结算，保证各项负债在规定期限内偿还。</w:t>
      </w:r>
    </w:p>
    <w:p w14:paraId="5018E2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建立健全财务风险预警和控制机制，规范和加强借入款项管理，如实反映依法举借债务情况，严格执行审批程序，不得违反规定融资或者提供担保，不得以任何方式直接或间接替地方政府及其部门融资或者提供担保，严禁新增地方政府隐性债务。具体审批办法由主管部门会同本级财政部门制定。</w:t>
      </w:r>
    </w:p>
    <w:p w14:paraId="41547A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第十章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财务清算</w:t>
      </w:r>
    </w:p>
    <w:p w14:paraId="7047E3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经国家有关部门批准，高等学校发生划转、改制、撤销、合并、分立时，应当进行财务清算。</w:t>
      </w:r>
    </w:p>
    <w:p w14:paraId="4937FD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财务清算，应当在主管部门和财政部门的监督指导下成立财务清算工作小组，对学校的财产、债权、债务等进行全面清理，编制财产目录和债权、债务清单以及清算财务报告，全面反映高校的财务状况和清算损益，提出财产作价依据和债权、债务处理办法，做好资产和负债的移交、接收、划转和管理工作，并妥善处理各项遗留问题。</w:t>
      </w:r>
    </w:p>
    <w:p w14:paraId="1E260A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高等学校清算结束后，经主管部门审核并报财政部门批准，其资产和负债分别按照下列办法处理：</w:t>
      </w:r>
    </w:p>
    <w:p w14:paraId="3EF6A4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（一）因隶属关系改变，成建制划转的高等学校，全部资产和负债无偿移交，并相应划转经费指标。</w:t>
      </w:r>
    </w:p>
    <w:p w14:paraId="592B60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（二）撤销的高等学校，全部资产和负债由主管部门和财政部门核准处理。</w:t>
      </w:r>
    </w:p>
    <w:p w14:paraId="0CF573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（三）合并的高等学校，全部资产和负债移交接收单位或者新组建单位，合并后多余的国有资产由主管部门和财政部门核准处理。</w:t>
      </w:r>
    </w:p>
    <w:p w14:paraId="67CDC1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（四）分立的高等学校，全部资产和负债按照有关规定移交分立后的高等学校，并相应划转经费指标。</w:t>
      </w:r>
    </w:p>
    <w:p w14:paraId="185024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p>
    <w:p w14:paraId="490101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p>
    <w:p w14:paraId="43018D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p>
    <w:p w14:paraId="265AE8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第十一章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报告和分析</w:t>
      </w:r>
    </w:p>
    <w:p w14:paraId="31AAC4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高等学校应当按国家有关规定向主管部门和财政部门以及其他有关的报告使用者提供财务报告、决算报告。高等学校应当为相关使用者提供满足需要的管理会计报告。</w:t>
      </w:r>
    </w:p>
    <w:p w14:paraId="72A91F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高等学校财务会计和预算会计要素的确认、计量、记录、报告应当遵循政府会计准则制度的规定。</w:t>
      </w:r>
    </w:p>
    <w:p w14:paraId="166319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财务报告主要以权责发生制为基础编制，综合反映高等学校特定日期财务状况和一定时期运行情况等信息。</w:t>
      </w:r>
    </w:p>
    <w:p w14:paraId="0EF006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财务报告由财务报表和财务分析两部分组成。财务报表主要包括资产负债表、收入费用表等会计报表和报表附注。财务分析的内容主要包括财务状况分析、运行情况分析和财务管理情况等。</w:t>
      </w:r>
    </w:p>
    <w:p w14:paraId="39FF9C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财务分析应当按照主管部门的规定设置财务分析指标，主要包括但不限于反映财务风险管理、财务运行能力、财务发展能力等方面的指标。</w:t>
      </w:r>
    </w:p>
    <w:p w14:paraId="0A9CC1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决算报告主要以收付实现制为基础编制，综合反映高等学校年度预算收支执行结果等信息。</w:t>
      </w:r>
    </w:p>
    <w:p w14:paraId="787E00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决算报告由决算报表和决算分析两部分组成。决算报表主要包括收入支出表、财政拨款收入支出表等。决算分析的内容主要包括收支预算执行分析、资金使用效益分析和机构人员情况等。</w:t>
      </w:r>
    </w:p>
    <w:p w14:paraId="64F938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决算分析应当按照主管部门的规定设置分析指标，主要包括但不限于反映高等学校预算管理、资金使用效益、收支结构、结转结余情况等方面的指标。</w:t>
      </w:r>
    </w:p>
    <w:p w14:paraId="7687F7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管理会计报告主要以提供决策和管理支持为目标，根据相关使用者的需要编制，反映高等学校绩效管理、成本管理、内部控制、国有资产管理等情况。</w:t>
      </w:r>
    </w:p>
    <w:p w14:paraId="289D7D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第十二章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财务监督</w:t>
      </w:r>
    </w:p>
    <w:p w14:paraId="0412BF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高等学校财务监督的主要内容包括：</w:t>
      </w:r>
    </w:p>
    <w:p w14:paraId="7EE2B1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（一）预算编制、执行的规范性、合理性、有效性；报告的真实性、完整性、准确性；</w:t>
      </w:r>
    </w:p>
    <w:p w14:paraId="0FB373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（二）各项收入和支出的合法性、合规性；</w:t>
      </w:r>
    </w:p>
    <w:p w14:paraId="1526CD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（三）结转和结余的管理情况；</w:t>
      </w:r>
    </w:p>
    <w:p w14:paraId="5C67AB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（四）专用基金的管理情况；</w:t>
      </w:r>
    </w:p>
    <w:p w14:paraId="3CD13A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（五）资产管理的安全性、规范性、有效性；</w:t>
      </w:r>
    </w:p>
    <w:p w14:paraId="7DAFA9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（六）负债的合规性和风险程度；</w:t>
      </w:r>
    </w:p>
    <w:p w14:paraId="1B4546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（七）其他重要事项，包括对附属单位财务管理情况进行监督等。</w:t>
      </w:r>
    </w:p>
    <w:p w14:paraId="39B652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高等学校财务监督应当实行事前监督、事中监督、事后监督相结合，日常监督与专项监督相结合。</w:t>
      </w:r>
    </w:p>
    <w:p w14:paraId="42469B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高等学校应当建立健全内部控制制度、经济责任制度、财务信息披露制度等监督制度，依法公开财务信息，按规定编制和报送内部控制报告。</w:t>
      </w:r>
    </w:p>
    <w:p w14:paraId="687462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高等学校应当遵守财经纪律和财务制度，依法接受主管部门和财政、审计部门的监督。</w:t>
      </w:r>
    </w:p>
    <w:p w14:paraId="66F2B1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第七十一条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各高等学校及其工作人员存在违反本制度规定的行为，以及其他滥用职权、玩忽职守、徇私舞弊等违法违规行为的，依法追究相应责任。</w:t>
      </w:r>
    </w:p>
    <w:p w14:paraId="193378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b/>
          <w:bCs/>
          <w:i w:val="0"/>
          <w:iCs w:val="0"/>
          <w:caps w:val="0"/>
          <w:color w:val="auto"/>
          <w:spacing w:val="0"/>
          <w:sz w:val="24"/>
          <w:szCs w:val="24"/>
          <w:shd w:val="clear" w:color="auto" w:fill="FFFFFF"/>
        </w:rPr>
      </w:pPr>
    </w:p>
    <w:p w14:paraId="1CF56A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b/>
          <w:bCs/>
          <w:i w:val="0"/>
          <w:iCs w:val="0"/>
          <w:caps w:val="0"/>
          <w:color w:val="auto"/>
          <w:spacing w:val="0"/>
          <w:sz w:val="24"/>
          <w:szCs w:val="24"/>
          <w:shd w:val="clear" w:color="auto" w:fill="FFFFFF"/>
        </w:rPr>
      </w:pPr>
    </w:p>
    <w:p w14:paraId="647CFA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第十三章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附则</w:t>
      </w:r>
    </w:p>
    <w:p w14:paraId="55529C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高等学校基本建设投资财务管理，应当执行本制度。但国家基本建设投资财务管理制度另有规定的，从其规定。</w:t>
      </w:r>
    </w:p>
    <w:p w14:paraId="0D6A3F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高等学校应当根据本制度，结合学校实际情况，制定内部财务管理办法。</w:t>
      </w:r>
    </w:p>
    <w:p w14:paraId="634B82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both"/>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本制度自发布之日起施行。财政部、教育部2012年12月19日发布的《高等学校财务制度》（财教〔2012〕488号）同时废止。</w:t>
      </w:r>
    </w:p>
    <w:p w14:paraId="3499A08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p>
    <w:p w14:paraId="090416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仿宋" w:hAnsi="仿宋" w:eastAsia="仿宋" w:cs="仿宋"/>
          <w:i w:val="0"/>
          <w:iCs w:val="0"/>
          <w:caps w:val="0"/>
          <w:color w:val="auto"/>
          <w:spacing w:val="0"/>
          <w:sz w:val="24"/>
          <w:szCs w:val="24"/>
        </w:rPr>
      </w:pPr>
      <w:r>
        <w:rPr>
          <w:rFonts w:hint="eastAsia" w:ascii="宋体" w:hAnsi="宋体" w:eastAsia="宋体" w:cs="宋体"/>
          <w:i w:val="0"/>
          <w:iCs w:val="0"/>
          <w:caps w:val="0"/>
          <w:color w:val="auto"/>
          <w:spacing w:val="0"/>
          <w:sz w:val="36"/>
          <w:szCs w:val="36"/>
        </w:rPr>
        <w:br w:type="page"/>
      </w:r>
      <w:bookmarkStart w:id="56" w:name="_Toc10647"/>
      <w:bookmarkStart w:id="57" w:name="_Toc19948"/>
      <w:r>
        <w:rPr>
          <w:rFonts w:hint="eastAsia" w:ascii="宋体" w:hAnsi="宋体" w:eastAsia="宋体" w:cs="宋体"/>
          <w:i w:val="0"/>
          <w:iCs w:val="0"/>
          <w:caps w:val="0"/>
          <w:color w:val="auto"/>
          <w:spacing w:val="0"/>
          <w:sz w:val="36"/>
          <w:szCs w:val="36"/>
        </w:rPr>
        <w:t>最高人民法院 最高人民检察院 教育部印发《关于落实从业禁止制度的意见》的通知</w:t>
      </w:r>
      <w:bookmarkEnd w:id="56"/>
      <w:bookmarkEnd w:id="57"/>
    </w:p>
    <w:p w14:paraId="1F4CC4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法发〔2022〕32号</w:t>
      </w:r>
    </w:p>
    <w:p w14:paraId="4B9C65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各省、自治区、直辖市高级人民法院、人民检察院、教育厅（教委），解放军军事法院、军事检察院，新疆维吾尔自治区高级人民法院生产建设兵团分院、新疆生产建设兵团人民检察院、教育局：</w:t>
      </w:r>
    </w:p>
    <w:p w14:paraId="6BD586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为严格执行犯罪人员从业禁止制度，净化校园环境，保护未成年人，根据刑法、未成年人保护法、教师法等法律规定，结合执法司法实践反映的情况，最高人民法院会同最高人民检察院、教育部制定了《关于落实从业禁止制度的意见》。现予以印发，请结合实际认真贯彻执行。在执行中遇到问题，请及时分别报告最高人民法院、最高人民检察院、教育部。</w:t>
      </w:r>
    </w:p>
    <w:p w14:paraId="0CDB09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rPr>
      </w:pPr>
    </w:p>
    <w:p w14:paraId="04D08C2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rPr>
      </w:pPr>
    </w:p>
    <w:p w14:paraId="0CD082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最高人民法院 最高人民检察院</w:t>
      </w:r>
    </w:p>
    <w:p w14:paraId="4868CD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教育部</w:t>
      </w:r>
    </w:p>
    <w:p w14:paraId="2FFB9B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2022年11月10日</w:t>
      </w:r>
    </w:p>
    <w:p w14:paraId="7E0C03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微软雅黑" w:hAnsi="微软雅黑" w:eastAsia="微软雅黑" w:cs="微软雅黑"/>
          <w:b/>
          <w:bCs/>
          <w:i w:val="0"/>
          <w:iCs w:val="0"/>
          <w:caps w:val="0"/>
          <w:color w:val="auto"/>
          <w:spacing w:val="0"/>
          <w:sz w:val="21"/>
          <w:szCs w:val="21"/>
        </w:rPr>
      </w:pPr>
    </w:p>
    <w:p w14:paraId="43D1B9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36"/>
          <w:szCs w:val="36"/>
        </w:rPr>
      </w:pPr>
      <w:r>
        <w:rPr>
          <w:rFonts w:hint="eastAsia" w:ascii="宋体" w:hAnsi="宋体" w:eastAsia="宋体" w:cs="宋体"/>
          <w:b/>
          <w:bCs/>
          <w:i w:val="0"/>
          <w:iCs w:val="0"/>
          <w:caps w:val="0"/>
          <w:color w:val="auto"/>
          <w:spacing w:val="0"/>
          <w:sz w:val="36"/>
          <w:szCs w:val="36"/>
        </w:rPr>
        <w:br w:type="page"/>
      </w:r>
      <w:r>
        <w:rPr>
          <w:rFonts w:hint="eastAsia" w:ascii="宋体" w:hAnsi="宋体" w:eastAsia="宋体" w:cs="宋体"/>
          <w:b/>
          <w:bCs/>
          <w:i w:val="0"/>
          <w:iCs w:val="0"/>
          <w:caps w:val="0"/>
          <w:color w:val="auto"/>
          <w:spacing w:val="0"/>
          <w:sz w:val="36"/>
          <w:szCs w:val="36"/>
        </w:rPr>
        <w:t>最高人民法院 最高人民检察院教育部</w:t>
      </w:r>
    </w:p>
    <w:p w14:paraId="745E8C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36"/>
          <w:szCs w:val="36"/>
        </w:rPr>
      </w:pPr>
      <w:r>
        <w:rPr>
          <w:rFonts w:hint="eastAsia" w:ascii="宋体" w:hAnsi="宋体" w:eastAsia="宋体" w:cs="宋体"/>
          <w:b/>
          <w:bCs/>
          <w:i w:val="0"/>
          <w:iCs w:val="0"/>
          <w:caps w:val="0"/>
          <w:color w:val="auto"/>
          <w:spacing w:val="0"/>
          <w:sz w:val="36"/>
          <w:szCs w:val="36"/>
        </w:rPr>
        <w:t>关于落实从业禁止制度的意见</w:t>
      </w:r>
    </w:p>
    <w:p w14:paraId="1AFD43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为贯彻落实学校、幼儿园等教育机构、校外培训机构教职员工违法犯罪记录查询制度，严格执行犯罪人员从业禁止制度，净化校园环境，切实保护未成年人，根据《中华人民共和国刑法》（以下简称《刑法》）、《中华人民共和国未成年人保护法》（以下简称《未成年人保护法》）、《中华人民共和国教师法》（以下简称《教师法》）等法律规定，提出如下意见：</w:t>
      </w:r>
    </w:p>
    <w:p w14:paraId="760776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一、依照《刑法》第三十七条之一的规定，教职员工利用职业便利实施犯罪，或者实施违背职业要求的特定义务的犯罪被判处刑罚的，人民法院可以根据犯罪情况和预防再犯罪的需要，禁止其在一定期限内从事相关职业。其他法律、行政法规对其从事相关职业另有禁止或者限制性规定的，从其规定。</w:t>
      </w:r>
    </w:p>
    <w:p w14:paraId="639A864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《未成年人保护法</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教师法》属于前款规定的法律，《教师资格条例》属于前款规定的行政法规。</w:t>
      </w:r>
    </w:p>
    <w:p w14:paraId="781F4A7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二、依照《未成年人保护法》第六十二条的规定，实施性侵害、虐待、拐卖、暴力伤害等违法犯罪的人员，禁止从事密切接触未成年人的工作。</w:t>
      </w:r>
    </w:p>
    <w:p w14:paraId="2BAB53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依照《教师法》第十四条、《教师资格条例》第十八条规定，受到剥夺政治权利或者故意犯罪受到有期徒刑以上刑罚的，不能取得教师资格；已经取得教师资格的，丧失教师资格，且不能重新取得教师资格。</w:t>
      </w:r>
    </w:p>
    <w:p w14:paraId="05936D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三、教职员工实施性侵害、虐待、拐卖、暴力伤害等犯罪的，人民法院应当依照《未成年人保护法》第六十二条的规定，判决禁止其从事密切接触未成年人的工作。</w:t>
      </w:r>
    </w:p>
    <w:p w14:paraId="4EDDCC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教职员工实施前款规定以外的其他犯罪，人民法院可以根据犯罪情况和预防再犯罪的需要，依照《刑法》第三十七条之一第一款的规定，判决禁止其自刑罚执行完毕之日或者假释之日起从事相关职业，期限为三年至五年；或者依照《刑法》第三十八条第二款、第七十二条第二款的规定，对其适用禁止令。</w:t>
      </w:r>
    </w:p>
    <w:p w14:paraId="3B58C7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四、对有必要禁止教职员工从事相关职业或者适用禁止令的，人民检察院在提起公诉时，应当提出相应建议。</w:t>
      </w:r>
    </w:p>
    <w:p w14:paraId="1DD154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五、教职员工犯罪的刑事案件，判决生效后，人民法院应当在三十日内将裁判文书送达被告人单位所在地的教育行政部门；必要时，教育行政部门应当将裁判文书转送有关主管部门。</w:t>
      </w:r>
    </w:p>
    <w:p w14:paraId="7CF49C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因涉及未成年人隐私等原因，不宜送达裁判文书的，可以送达载明被告人的自然情况、罪名及刑期的相关证明材料。</w:t>
      </w:r>
    </w:p>
    <w:p w14:paraId="749B16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六、教职员工犯罪，人民法院作出的判决生效后，所在单位、教育行政部门或者有关主管部门可以依照《未成年人保护法</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教师法</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教师资格条例》等法律法规给予相应处理、处分和处罚。</w:t>
      </w:r>
    </w:p>
    <w:p w14:paraId="37DB10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符合丧失教师资格或者撤销教师资格情形的，教育行政部门应当及时收缴其教师资格证书。</w:t>
      </w:r>
    </w:p>
    <w:p w14:paraId="1223EF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七、人民检察院应当对从业禁止和禁止令执行落实情况进行监督。</w:t>
      </w:r>
    </w:p>
    <w:p w14:paraId="68DEB3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八、人民法院、人民检察院发现有关单位未履行犯罪记录查询制度、从业禁止制度的，应当向该单位提出建议。</w:t>
      </w:r>
    </w:p>
    <w:p w14:paraId="26BF63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九、本意见所称教职员工，是指在学校、幼儿园等教育机构工作的教师、教育教学辅助人员、行政人员、勤杂人员、安保人员，以及校外培训机构的相关工作人员。</w:t>
      </w:r>
    </w:p>
    <w:p w14:paraId="3C7CD2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学校、幼儿园等教育机构、校外培训机构的举办者、实际控制人犯罪，参照本意见执行。</w:t>
      </w:r>
    </w:p>
    <w:p w14:paraId="071CD6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十、本意见自2022年11月15日起施行。</w:t>
      </w:r>
    </w:p>
    <w:p w14:paraId="4FFB9658">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38E646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r>
        <w:rPr>
          <w:rFonts w:hint="eastAsia" w:ascii="宋体" w:hAnsi="宋体" w:eastAsia="宋体" w:cs="宋体"/>
          <w:i w:val="0"/>
          <w:iCs w:val="0"/>
          <w:caps w:val="0"/>
          <w:color w:val="auto"/>
          <w:spacing w:val="0"/>
          <w:sz w:val="36"/>
          <w:szCs w:val="36"/>
          <w:shd w:val="clear" w:color="auto" w:fill="FFFFFF"/>
        </w:rPr>
        <w:br w:type="page"/>
      </w:r>
      <w:bookmarkStart w:id="58" w:name="_Toc10642"/>
      <w:bookmarkStart w:id="59" w:name="_Toc19367"/>
      <w:r>
        <w:rPr>
          <w:rFonts w:hint="eastAsia" w:ascii="宋体" w:hAnsi="宋体" w:eastAsia="宋体" w:cs="宋体"/>
          <w:i w:val="0"/>
          <w:iCs w:val="0"/>
          <w:caps w:val="0"/>
          <w:color w:val="auto"/>
          <w:spacing w:val="0"/>
          <w:sz w:val="36"/>
          <w:szCs w:val="36"/>
          <w:shd w:val="clear" w:color="auto" w:fill="FFFFFF"/>
        </w:rPr>
        <w:t>教育部等五部门关于完善安全事故处理机制维护学校教育教学秩序的意见</w:t>
      </w:r>
      <w:bookmarkEnd w:id="58"/>
      <w:bookmarkEnd w:id="59"/>
    </w:p>
    <w:p w14:paraId="217193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教政法〔2019〕11号</w:t>
      </w:r>
    </w:p>
    <w:p w14:paraId="31A68F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省、自治区、直辖市教育厅（教委）、高级人民法院、人民检察院、公安厅（局）、司法厅（局），新疆生产建设兵团教育局、新疆维吾尔自治区高级人民法院生产建设兵团分院、新疆生产建设兵团人民检察院、公安局、司法局：</w:t>
      </w:r>
    </w:p>
    <w:p w14:paraId="732767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为贯彻落实全国教育大会精神，完善学校安全事故预防与处理机制，形成依法依规、客观公正、多元参与、部门协作的工作格局，为学校（含幼儿园）办学安全托底，解决学校后顾之忧，维护老师和学校应有的尊严，保护学生生命安全，根据教育法、治安管理处罚法、刑法等法律法规和《国务院办公厅关于加强中小学幼儿园安全风险防控体系建设的意见》等有关规定，现提出如下意见。</w:t>
      </w:r>
    </w:p>
    <w:p w14:paraId="50A0B6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val="0"/>
          <w:i w:val="0"/>
          <w:iCs w:val="0"/>
          <w:caps w:val="0"/>
          <w:color w:val="auto"/>
          <w:spacing w:val="0"/>
          <w:sz w:val="24"/>
          <w:szCs w:val="24"/>
        </w:rPr>
      </w:pPr>
      <w:r>
        <w:rPr>
          <w:rStyle w:val="14"/>
          <w:rFonts w:hint="eastAsia" w:ascii="黑体" w:hAnsi="黑体" w:eastAsia="黑体" w:cs="黑体"/>
          <w:b/>
          <w:bCs w:val="0"/>
          <w:i w:val="0"/>
          <w:iCs w:val="0"/>
          <w:caps w:val="0"/>
          <w:color w:val="auto"/>
          <w:spacing w:val="0"/>
          <w:sz w:val="24"/>
          <w:szCs w:val="24"/>
          <w:shd w:val="clear" w:color="auto" w:fill="FFFFFF"/>
        </w:rPr>
        <w:t>一、健全学校安全事故预防与处置机制</w:t>
      </w:r>
    </w:p>
    <w:p w14:paraId="2C0AEE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1.着重加强学校安全事故预防。各级教育部门要依法加强对学校安全工作的督导、检查，会同、配合有关部门加强对学校校舍、场地、消防、食品安全和传染病防控等事项的监管，指导学校完善安全风险防控体系，完善学校安全管理组织机构和责任体系，健全问责机制。各级各类学校要树立预防为先的理念，落实安全标准，健全安全管理制度，完善安全风险排查和防范机制，压实安全责任，加强学生的安全教育、法治教育、生命教育和心理健康教育，建立并严格执行学校教职工聘用资质检查制度，从源头上预防和消除安全风险，杜绝责任事故。健全学校安全隐患投诉机制，对学生、家长和相关方面就学校安全存在问题的投诉、提出的意见建议，及时办理回复。</w:t>
      </w:r>
    </w:p>
    <w:p w14:paraId="0D1393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2.规范学校安全事故处置程序。各级教育部门要指导、监督学校健全安全事故处置机制，制定处置预案、明确牵头部门、规范处置程序，完善报告制度，提高工作规范化、科学化、专业化水平。安全事故发生后，学校应当立即启动预案，及时开展救助。发生重大事故，要建立由学校主要负责人牵头的处置机制，必要时由当地人民政府或者学校主管部门、其他相关部门牵头处理。学校应当建立便捷的沟通渠道，及时通知受伤害者监护人或者近亲属，告知事故纠纷处理的途径、程序和相关规定，主动协调，积极引导以法治方式处置纠纷。学校要关心受伤害者，保障受伤害者及其监护人、近亲属的知情权和依法合理表达诉求的权利。</w:t>
      </w:r>
    </w:p>
    <w:p w14:paraId="55F0FB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3.健全学校安全事故处理的法律服务机制。司法行政机关应当组织法律援助机构依法为符合条件的学校安全事故受伤害者提供法律援助，指导律师事务所、公证机构等为当事人提供法律服务，指导律师做好代理服务工作，引导当事人依法、理性表达意见，合理提出诉求。有条件的地方可以设立学生权益法律保护中心，以政府购买服务等方式，聘请法律专业服务机构或人员，为学生提供法律服务。纠纷处理过程中，需要鉴定以明确责任的，由双方共同委托或者经当事人申请，由主持调解的机构、组织委托司法鉴定机构进行鉴定。</w:t>
      </w:r>
    </w:p>
    <w:p w14:paraId="3CCA9A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4.形成多元化的学校安全事故损害赔偿机制。学校或者学校举办者应按规定投保校方责任险，有条件的可以购买校方无过失责任险和食品安全、校外实习、体育运动伤害等领域的责任保险。要通过财政补贴、家长分担等多种渠道筹措经费，推动设立学校安全综合险，加大保障力度。要增强师生和家长的保险意识，引导家长为学生购买人身保险，有条件的地方可以予以补贴。学校可以引导、利用社会捐赠资金等设置安全风险基金或者学生救助基金，健全救助机制。鼓励有条件的地方建立学校安全赔偿准备基金，或者开展互助计划，健全学校安全事故赔偿机制。</w:t>
      </w:r>
    </w:p>
    <w:p w14:paraId="7CFDF8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二、依法处理学校安全事故纠纷</w:t>
      </w:r>
    </w:p>
    <w:p w14:paraId="34A4D4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5.健全学校安全事故纠纷协商机制。学校安全事故责任明确、各方无重大分歧或异议的，可以协商解决。协商解决纠纷应当坚持自愿、合法、平等的原则，尊重客观事实、注重人文关怀，文明、理性表达意见和诉求。学校应当指定、委托协商代表，或者由法治副校长、学校法律顾问等专业人员主持或参与协商。协商一般应在配置录音、录像、安保等条件的场所进行。受伤害者亲属人数较多的，应当推举代表进行协商，代表人数一般不超过5人并相对固定。双方经协商达成一致的，应当签署书面协议。推动学校建立专业化的安全事故处理委员会，统筹学校安全事故预防与处置。</w:t>
      </w:r>
    </w:p>
    <w:p w14:paraId="65F0FF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6.建立学校安全事故纠纷调解制度。教育部门应当会同司法行政机关推进学校安全事故纠纷调解组织建设，聘任人大代表、政协委员、法治副校长、教育和法律工作者等具备相应专业知识或能力的人员参与调解。建立由教育、法律、医疗、保险、心理、社会工作等方面专业人员组成的专家咨询库，为调解工作提供支持和服务。市县两级行政区域内可根据需要设立学校安全事故人民调解委员会，对学校难于自行协商或者协商不成的安全事故纠纷实现能调尽调。司法行政机关应当会同教育部门、人民法院加强对学校安全事故人民调解委员会的指导，帮助完善受理、调解、回访、反馈等各项工作制度，加强人民调解员队伍建设和业务培训，确保调解依法、规范、公正、有效进行。地方教育部门根据需要可以直接组织行政调解。区域内的高等学校可以加强合作，联合建立事故纠纷调处机制。</w:t>
      </w:r>
    </w:p>
    <w:p w14:paraId="3FC8D1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7.依法裁判学校安全事故侵权责任。人民法院对起诉的学校安全事故侵权赔偿案件应当及时立案受理，积极开展诉讼调解，对调解不成的，要按照《中华人民共和国侵权责任法》和相关法律法规，参照《学生伤害事故处理办法》等规章，明确划分责任，及时依法判决；对学校已经依法履行教育、管理职责，行为无过错的，应当依法裁判学校不承担责任。诉讼调解、裁判过程中，要切实保护双方权利，杜绝片面加重学校赔偿责任的情形。最高人民法院通过发布指导性案例等方式，加强审判指导。人民法院在诉讼过程中应当加强法律宣传教育，并做好判后释疑工作。</w:t>
      </w:r>
    </w:p>
    <w:p w14:paraId="7DCD63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8.杜绝不顾法律原则的“花钱买平安”。学校安全事故纠纷处理过程中，要坚守法律底线，根据事故客观事实和法律法规规定，明确各方责任。责任认定前，学校不得赔钱息事。经认定，学校确有责任的，要积极主动、按标准依法确定赔偿金额，给予损害赔偿，不得推诿塞责、拖延不办。学校负责人或者直接管理者有责任的，学校主管部门应当依法依规及时处理、严肃问责。学校无责任的，要澄清事实、及时说明。任何组织和个人不得非法干涉纠纷处理。坚决避免超越法定责任边界，片面加重学校负担、“花钱买平安”，坚决杜绝“大闹大赔”“小闹小赔”。原则上，公办中小学、幼儿园人身伤害事故纠纷涉及赔偿金额请求较大的，应当积极引导当事人通过人民调解等方式解决。各地可以根据实际，规定公办中小学校、幼儿园协商赔偿的限额。</w:t>
      </w:r>
    </w:p>
    <w:p w14:paraId="395A81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p>
    <w:p w14:paraId="2094EF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p>
    <w:p w14:paraId="44E330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微软雅黑" w:hAnsi="微软雅黑" w:eastAsia="微软雅黑" w:cs="微软雅黑"/>
          <w:i w:val="0"/>
          <w:iCs w:val="0"/>
          <w:caps w:val="0"/>
          <w:color w:val="auto"/>
          <w:spacing w:val="0"/>
          <w:sz w:val="21"/>
          <w:szCs w:val="21"/>
        </w:rPr>
      </w:pPr>
      <w:r>
        <w:rPr>
          <w:rStyle w:val="14"/>
          <w:rFonts w:hint="eastAsia" w:ascii="黑体" w:hAnsi="黑体" w:eastAsia="黑体" w:cs="黑体"/>
          <w:i w:val="0"/>
          <w:iCs w:val="0"/>
          <w:caps w:val="0"/>
          <w:color w:val="auto"/>
          <w:spacing w:val="0"/>
          <w:sz w:val="24"/>
          <w:szCs w:val="24"/>
          <w:shd w:val="clear" w:color="auto" w:fill="FFFFFF"/>
        </w:rPr>
        <w:t>三、及时处置、依法打击“校闹”行为</w:t>
      </w:r>
    </w:p>
    <w:p w14:paraId="5AFA3B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9.及时制止“校闹”行为。学校安全事故处置过程中，如发生家属及其他校外人员实施围堵学校、在校园内非法聚集、聚众闹事等扰乱学校教育教学和管理秩序，侵犯学校和师生合法权益等“校闹”行为的，学校应当立即向所在地公安机关报案，提供当事方人数、具体行为、有无人员受伤等现场情况，并保护好现场，配合公安机关做好调查取证等工作。公安机关到达前，学校保卫部门可依法采取必要的措施，阻止相关人员进入教育教学区域，防止其干扰教育教学活动。公安机关接到报案后应当立即组织警力赶赴现场，维持现场秩序，控制事态，协助有关部门进行疏导劝阻，防止事态扩大。对现场发生的违法犯罪行为，要坚决果断制止，对涉嫌违法犯罪人员依法查处。</w:t>
      </w:r>
    </w:p>
    <w:p w14:paraId="43CE84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10.依法惩处“校闹”人员。实施下列“校闹”行为，构成违反治安管理行为的，公安机关应当依照治安管理处罚法相关规定予以处罚：（1）殴打他人、故意伤害他人或者故意损毁公私财物的；（2）侵占、毁损学校房屋、设施设备的；（3）在学校设置障碍、贴报喷字、拉挂横幅、燃放鞭炮、播放哀乐、摆放花圈、泼洒污物、断水断电、堵塞大门、围堵办公场所和道路的；（4）在学校等公共场所停放尸体的；（5）以不准离开工作场所等方式非法限制学校教职工、学生人身自由的；（6）跟踪、纠缠学校相关负责人，侮辱、恐吓教职工、学生的；（7）携带易燃易爆危险物品和管制器具进入学校的；（8）其他扰乱学校教育教学秩序或侵害他人人身财产权益的行为。“校闹”行为造成学校、教职工、学生财产损失或人身伤害，被侵权人依法追究“校闹”人员侵权责任的，应当予以支持。同时，可以通过联合惩戒机制，对实施“校闹”、聚众扰乱社会秩序的人员实施惩戒。</w:t>
      </w:r>
    </w:p>
    <w:p w14:paraId="340FC1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11.严厉打击涉及“校闹”的犯罪行为。实施“校闹”行为涉嫌构成寻衅滋事罪、聚众扰乱社会秩序罪、故意毁坏财物罪、非法拘禁罪、故意伤害罪和聚众扰乱公共场所秩序、交通秩序罪等，需要追究刑事责任的，公安机关要依法及时立案侦查，全面客观地收集、调取证据，确保侦查质量。人民检察院应当及时依法批捕、起诉。人民法院应当加快审理进度，在全面查明案件事实的基础上依法准确定罪量刑。对故意扩大事态，教唆他人实施针对学校和教职工、学生的违法犯罪行为，或者以受他人委托处理纠纷为名实施敲诈勒索、寻衅滋事等行为的，依法从严惩处。</w:t>
      </w:r>
    </w:p>
    <w:p w14:paraId="6636A3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师生、家长或者校外人员因其他原因在校内非法聚集、游行或者实施其他影响学校正常教育教学秩序行为的，参照上述规定予以处置。</w:t>
      </w:r>
    </w:p>
    <w:p w14:paraId="4ED6B6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四、建立多部门协调配合工作机制</w:t>
      </w:r>
    </w:p>
    <w:p w14:paraId="5A3E84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12.加强学校及周边安全风险防控。各地要加强校园周边综合治理，在城镇幼儿园、中小学周边全面实行学生安全区域制度。教育部门应当会同公安机关指导学校建立健全突发事件预警应对机制和警校联动联防联控机制，提高应对突发事件的现场处置能力。公安机关要加强校园及周边警务室建设，加强校园周边巡逻防控，及时受理报警求助。</w:t>
      </w:r>
    </w:p>
    <w:p w14:paraId="2FCB9B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13.有效应对涉及学校安全事故纠纷的舆情。学校要做好安全事故的信息发布工作，按照规定主动、适时公布或者通报事故信息；在处置预案中明确接待媒体、应对舆情的部门和人员，增强舆情应对的意识和能力。对恶意炒作、报道严重失实的，学校要及时发声、澄清事实。对有较大影响的安全事故事件，属地教育部门应在党委、政府统一领导下，会同相关部门做好舆情引导工作。对于虚假报道引起社会不良影响的，学校应当向有关部门反映或提起诉讼，追究其侵权责任。</w:t>
      </w:r>
    </w:p>
    <w:p w14:paraId="121871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14.营造依法解决学校安全事故纠纷的社会氛围。推动学校安全法律制度建设，鼓励各地制定或修改、完善学校安全方面的地方性法规。司法行政机关要协调指导有关部门加强法治宣传教育，增强社会公众的法治意识，培养尊法学法守法用法的社会氛围，推动形成依法理性解决学校安全事故纠纷的共识。要通过家长学校、家长委员会等多种方式拓宽学生父母或其他监护人参与学校管理和监督的渠道，加强对学生父母或其他监护人的法治宣传，形成和谐家校关系。学校要切实树立依法治校、依法办学理念，通过法治思维和法治方式化解矛盾纠纷，不得为防止发生安全事故而限制或取消正常的课间活动、体育活动和其他社会实践活动。</w:t>
      </w:r>
    </w:p>
    <w:p w14:paraId="5FA9EA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15.建立学校安全工作部门协调机制。各地、各有关部门要深刻认识保障学校安全的重要意义，加强组织领导与协调配合，形成工作合力。地方教育部门应当积极协调相关部门建立联席会议等工作制度，定期互通信息，及时研究解决问题，共同维护学校安全，切实为学校办学安全托底，解除学校后顾之忧，保障学校安心办学、静心育人。</w:t>
      </w:r>
    </w:p>
    <w:p w14:paraId="396DBC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各地可以结合实际，制定贯彻实施本意见的具体办法。</w:t>
      </w:r>
    </w:p>
    <w:p w14:paraId="3768D21B">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6FE308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r>
        <w:rPr>
          <w:rFonts w:hint="eastAsia" w:ascii="宋体" w:hAnsi="宋体" w:eastAsia="宋体" w:cs="宋体"/>
          <w:i w:val="0"/>
          <w:iCs w:val="0"/>
          <w:caps w:val="0"/>
          <w:color w:val="auto"/>
          <w:spacing w:val="0"/>
          <w:sz w:val="36"/>
          <w:szCs w:val="36"/>
          <w:shd w:val="clear" w:color="auto" w:fill="FFFFFF"/>
        </w:rPr>
        <w:br w:type="page"/>
      </w:r>
      <w:bookmarkStart w:id="60" w:name="_Toc5908"/>
      <w:bookmarkStart w:id="61" w:name="_Toc30527"/>
      <w:r>
        <w:rPr>
          <w:rFonts w:hint="eastAsia" w:ascii="宋体" w:hAnsi="宋体" w:eastAsia="宋体" w:cs="宋体"/>
          <w:i w:val="0"/>
          <w:iCs w:val="0"/>
          <w:caps w:val="0"/>
          <w:color w:val="auto"/>
          <w:spacing w:val="0"/>
          <w:sz w:val="36"/>
          <w:szCs w:val="36"/>
          <w:shd w:val="clear" w:color="auto" w:fill="FFFFFF"/>
        </w:rPr>
        <w:t>教育部等五部门印发《关于进一步加强和规范教育收费管理的意见》的通知</w:t>
      </w:r>
      <w:bookmarkEnd w:id="60"/>
      <w:bookmarkEnd w:id="61"/>
    </w:p>
    <w:p w14:paraId="4AB2E2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教财〔2020〕5号</w:t>
      </w:r>
    </w:p>
    <w:p w14:paraId="74640B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省、自治区、直辖市教育厅（教委）、发展改革委、财政厅（局）、市场监管局、新闻出版局，各计划单列市教育局、发展改革委、财政局、市场监管局、新闻出版局，新疆生产建设兵团教育局、发展改革委、财政局、市场监管局、新闻出版局，有关部门（单位）教育司（局），部属各高等学校：</w:t>
      </w:r>
    </w:p>
    <w:p w14:paraId="061A20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为贯彻落实党的十九大和十九届二中、三中、四中全会精神，进一步加强教育收费治理体系和治理能力建设，教育部、国家发展改革委、财政部、国家市场监管总局、国家新闻出版署研究制定了《关于进一步加强和规范教育收费管理的意见》，现印发给你们，请结合实际贯彻执行。</w:t>
      </w:r>
    </w:p>
    <w:p w14:paraId="1D6F76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地要充分认识到，进一步加强和规范教育收费管理是巩固完善以政府投入为主、多渠道筹集教育经费的体制和非义务教育培养成本分担机制的重要内容，是各级治理教育乱收费联席会议办公室的一项重要职责，是加快推进教育财务治理体系和治理能力现代化的重要举措。要按照规定的管理权限全面落实教育收费管理主体责任，正确处理好政府与社会、受教育者的关系，正确处理好教育收费与财政拨款、学生资助的关系，正确处理好简政放权和放管结合、优化服务的关系，进一步完善教育收费政策体系、制度体系、监管体系，提升教育收费治理能力。</w:t>
      </w:r>
    </w:p>
    <w:p w14:paraId="3904A6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地出台教育收费政策，要综合考虑经济社会发展水平、教育培养成本和群众承受能力等因素，认真履行成本调查（或成本监审，下同）、决策听证、公开公示等有关法定程序，把握好政策出台的时机和节奏，确保平稳有序推进各项工作。各省教育收费政策出台及执行情况，要及时报告全国治理教育乱收费联席会议办公室。</w:t>
      </w:r>
    </w:p>
    <w:p w14:paraId="02A2D0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各地要调整完善各级治理教育乱收费联席会议制度，健全工作机制，认真履行职责，加大治理力度，严肃查处损害群众利益的教育乱收费行为。</w:t>
      </w:r>
    </w:p>
    <w:p w14:paraId="3B04EB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i w:val="0"/>
          <w:iCs w:val="0"/>
          <w:caps w:val="0"/>
          <w:color w:val="auto"/>
          <w:spacing w:val="0"/>
          <w:sz w:val="24"/>
          <w:szCs w:val="24"/>
          <w:shd w:val="clear" w:color="auto" w:fill="FFFFFF"/>
        </w:rPr>
      </w:pPr>
    </w:p>
    <w:p w14:paraId="7B8123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i w:val="0"/>
          <w:iCs w:val="0"/>
          <w:caps w:val="0"/>
          <w:color w:val="auto"/>
          <w:spacing w:val="0"/>
          <w:sz w:val="24"/>
          <w:szCs w:val="24"/>
          <w:shd w:val="clear" w:color="auto" w:fill="FFFFFF"/>
        </w:rPr>
      </w:pPr>
    </w:p>
    <w:p w14:paraId="346FA7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教育部 国家发展改革委 财政部</w:t>
      </w:r>
    </w:p>
    <w:p w14:paraId="4189DD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国家市场监管总局 国家新闻出版署</w:t>
      </w:r>
    </w:p>
    <w:p w14:paraId="568DBA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i w:val="0"/>
          <w:iCs w:val="0"/>
          <w:caps w:val="0"/>
          <w:color w:val="auto"/>
          <w:spacing w:val="0"/>
          <w:sz w:val="36"/>
          <w:szCs w:val="36"/>
        </w:rPr>
      </w:pPr>
      <w:r>
        <w:rPr>
          <w:rFonts w:hint="eastAsia" w:ascii="宋体" w:hAnsi="宋体" w:eastAsia="宋体" w:cs="宋体"/>
          <w:b/>
          <w:bCs/>
          <w:i w:val="0"/>
          <w:iCs w:val="0"/>
          <w:caps w:val="0"/>
          <w:color w:val="auto"/>
          <w:spacing w:val="0"/>
          <w:sz w:val="36"/>
          <w:szCs w:val="36"/>
          <w:shd w:val="clear" w:color="auto" w:fill="FFFFFF"/>
        </w:rPr>
        <w:br w:type="page"/>
      </w:r>
      <w:r>
        <w:rPr>
          <w:rFonts w:hint="eastAsia" w:ascii="宋体" w:hAnsi="宋体" w:eastAsia="宋体" w:cs="宋体"/>
          <w:b/>
          <w:bCs/>
          <w:i w:val="0"/>
          <w:iCs w:val="0"/>
          <w:caps w:val="0"/>
          <w:color w:val="auto"/>
          <w:spacing w:val="0"/>
          <w:sz w:val="36"/>
          <w:szCs w:val="36"/>
          <w:shd w:val="clear" w:color="auto" w:fill="FFFFFF"/>
        </w:rPr>
        <w:t>关于进一步加强和规范教育收费管理的意见</w:t>
      </w:r>
    </w:p>
    <w:p w14:paraId="5CD2F8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党中央、国务院历来高度重视教育收费管理工作，自全国治理教育乱收费部际联席会议制度建立以来，在各有关部门、地方各级政府的共同努力下，教育收费水平保持了基本稳定，教育乱收费现象得到了有效遏制。但随着经济社会的发展，教育收费管理工作在体制机制、政策执行、监督管理等方面仍然存在一些问题，与教育改革发展的需要和人民群众的期待仍然存在一定差距。为贯彻落实《中国教育现代化2035》《国务院办公厅关于进一步调整优化结构 提高教育经费使用效益的意见》等文件精神，进一步加强和规范教育收费管理，现提出以下意见。</w:t>
      </w:r>
    </w:p>
    <w:p w14:paraId="505AFE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微软雅黑" w:hAnsi="微软雅黑" w:eastAsia="微软雅黑" w:cs="微软雅黑"/>
          <w:i w:val="0"/>
          <w:iCs w:val="0"/>
          <w:caps w:val="0"/>
          <w:color w:val="auto"/>
          <w:spacing w:val="0"/>
          <w:sz w:val="21"/>
          <w:szCs w:val="21"/>
        </w:rPr>
      </w:pPr>
      <w:r>
        <w:rPr>
          <w:rStyle w:val="14"/>
          <w:rFonts w:hint="eastAsia" w:ascii="黑体" w:hAnsi="黑体" w:eastAsia="黑体" w:cs="黑体"/>
          <w:i w:val="0"/>
          <w:iCs w:val="0"/>
          <w:caps w:val="0"/>
          <w:color w:val="auto"/>
          <w:spacing w:val="0"/>
          <w:sz w:val="24"/>
          <w:szCs w:val="24"/>
          <w:shd w:val="clear" w:color="auto" w:fill="FFFFFF"/>
        </w:rPr>
        <w:t>一、总体要求</w:t>
      </w:r>
    </w:p>
    <w:p w14:paraId="4F5D3C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微软雅黑" w:hAnsi="微软雅黑" w:eastAsia="微软雅黑" w:cs="微软雅黑"/>
          <w:i w:val="0"/>
          <w:iCs w:val="0"/>
          <w:caps w:val="0"/>
          <w:color w:val="auto"/>
          <w:spacing w:val="0"/>
          <w:sz w:val="21"/>
          <w:szCs w:val="21"/>
        </w:rPr>
      </w:pPr>
      <w:r>
        <w:rPr>
          <w:rFonts w:hint="eastAsia" w:ascii="楷体" w:hAnsi="楷体" w:eastAsia="楷体" w:cs="楷体"/>
          <w:b/>
          <w:bCs/>
          <w:i w:val="0"/>
          <w:iCs w:val="0"/>
          <w:caps w:val="0"/>
          <w:color w:val="auto"/>
          <w:spacing w:val="0"/>
          <w:sz w:val="24"/>
          <w:szCs w:val="24"/>
          <w:shd w:val="clear" w:color="auto" w:fill="FFFFFF"/>
        </w:rPr>
        <w:t>（一）指导思想</w:t>
      </w:r>
    </w:p>
    <w:p w14:paraId="2E9556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以习近平新时代中国特色社会主义思想为指导，全面贯彻落实党的十九大和十九届二中、三中、四中全会精神，深入贯彻落实全国教育大会精神，始终坚持把教育事业摆在优先位置，主动适应教育、财税、价格等领域改革新要求，巩固完善以政府投入为主、多渠道筹集教育经费体制，逐步完善各级各类教育投入机制和非义务教育培养成本分担机制，建立健全教育收费政策体系、制度体系、监管体系，提升教育收费治理能力，持续巩固教育乱收费治理成果，促进教育公平而有质量的发展。</w:t>
      </w:r>
    </w:p>
    <w:p w14:paraId="02AACD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微软雅黑" w:hAnsi="微软雅黑" w:eastAsia="微软雅黑" w:cs="微软雅黑"/>
          <w:i w:val="0"/>
          <w:iCs w:val="0"/>
          <w:caps w:val="0"/>
          <w:color w:val="auto"/>
          <w:spacing w:val="0"/>
          <w:sz w:val="21"/>
          <w:szCs w:val="21"/>
          <w:shd w:val="clear" w:color="auto" w:fill="FFFFFF"/>
        </w:rPr>
      </w:pPr>
      <w:r>
        <w:rPr>
          <w:rFonts w:hint="eastAsia" w:ascii="楷体" w:hAnsi="楷体" w:eastAsia="楷体" w:cs="楷体"/>
          <w:b/>
          <w:bCs/>
          <w:i w:val="0"/>
          <w:iCs w:val="0"/>
          <w:caps w:val="0"/>
          <w:color w:val="auto"/>
          <w:spacing w:val="0"/>
          <w:sz w:val="24"/>
          <w:szCs w:val="24"/>
          <w:shd w:val="clear" w:color="auto" w:fill="FFFFFF"/>
        </w:rPr>
        <w:t>（二）基本原则</w:t>
      </w:r>
    </w:p>
    <w:p w14:paraId="718837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坚持公益属性、分类管理。坚持教育的公益性，充分发挥政府对教育事业的主导作用。区分义务教育和非义务教育的不同阶段，区分非营利性和营利性民办教育的不同属性，正确处理政府与社会、受教育者之间的关系，合理分担教育培养成本。</w:t>
      </w:r>
    </w:p>
    <w:p w14:paraId="7F7727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坚持分级审批、属地管理。教育领域行政事业性收费项目、标准实行中央和省两级审批，中央部门所属学校收费标准实行属地管理。各省、自治区、直辖市（以下简称各省）按照规定的管理权限，科学制定收费政策，加强收费项目管理，合理确定收费标准，全面落实教育收费管理主体责任。</w:t>
      </w:r>
    </w:p>
    <w:p w14:paraId="251E73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坚持问题导向、改革创新。不断健全教育收费管理体制，完善教育收费政策，加强重点领域、重点单位的收费治理，着力解决与教育改革发展不相适应的收费体制机制问题，着力解决群众反映强烈的收费问题。全面依法治教，坚持依法行政、依法理财，强化事中事后监管，将日常监督与专项监督相结合，创新收费监管方式。</w:t>
      </w:r>
    </w:p>
    <w:p w14:paraId="34E67D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二、完善教育收费政策</w:t>
      </w:r>
    </w:p>
    <w:p w14:paraId="7A4C10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（三）坚持实施九年义务教育制度。</w:t>
      </w:r>
      <w:r>
        <w:rPr>
          <w:rFonts w:hint="eastAsia" w:ascii="仿宋" w:hAnsi="仿宋" w:eastAsia="仿宋" w:cs="仿宋"/>
          <w:i w:val="0"/>
          <w:iCs w:val="0"/>
          <w:caps w:val="0"/>
          <w:color w:val="auto"/>
          <w:spacing w:val="0"/>
          <w:sz w:val="24"/>
          <w:szCs w:val="24"/>
          <w:shd w:val="clear" w:color="auto" w:fill="FFFFFF"/>
        </w:rPr>
        <w:t>义务教育全面纳入财政保障范围，公办义务教育学校不收取学费、杂费。各地要严格执行义务教育法，巩固完善城乡义务教育经费保障机制，坚持实行九年义务教育制度，严禁随意扩大免费教育政策实施范围。对民办义务教育学校学生免除学杂费标准按照生均公用经费基准定额执行；对生均教育培养成本不足部分，应严格落实非营利性法定要求，合理确定收费标准。严禁收取与招生入学挂钩的捐资助学款。按照国家有关规定招收义务教育阶段学生进行文艺、体育等专业训练的学校或其他社会组织，收取的学杂费不应包括学生完成九年义务教育课程按规定免除的学杂费。</w:t>
      </w:r>
    </w:p>
    <w:p w14:paraId="2DE668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（四）坚持实施非义务教育培养成本分担机制。</w:t>
      </w:r>
      <w:r>
        <w:rPr>
          <w:rFonts w:hint="eastAsia" w:ascii="仿宋" w:hAnsi="仿宋" w:eastAsia="仿宋" w:cs="仿宋"/>
          <w:i w:val="0"/>
          <w:iCs w:val="0"/>
          <w:caps w:val="0"/>
          <w:color w:val="auto"/>
          <w:spacing w:val="0"/>
          <w:sz w:val="24"/>
          <w:szCs w:val="24"/>
          <w:shd w:val="clear" w:color="auto" w:fill="FFFFFF"/>
        </w:rPr>
        <w:t>非义务教育实行以政府投入为主、受教育者合理分担、其他多种渠道筹措经费的投入机制。各省应根据办学成本、经济发展水平和财力状况，落实并动态调整公办幼儿园、普通高中、中等职业学校、高职院校、普通本科院校生均财政拨款标准或生均公用经费标准。学校（包括幼儿园，下同）按照年生均教育培养成本的一定比例向受教育者收取学费（保育教育费），综合考虑实际成本（扣除财政拨款）等向住宿生收取住宿费，家庭经济困难学生按照国家有关规定享受减免政策。各省应结合本地实际，合理确定公办幼儿园、普通高中、中等职业学校学费（保育教育费）占年生均教育培养成本的比例。现阶段，公办高等学校学费占年生均教育培养成本的比例最高不得超过25%，各地应根据经济社会发展水平、培养成本和群众承受能力等合理确定。</w:t>
      </w:r>
    </w:p>
    <w:p w14:paraId="12E022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军队举办的幼儿园招收地方人员子女，享受当地人民政府补助的，应按照公办幼儿园有关规定收费；未享受补助的，由军队依据国家有关政策具体制定，合理确定收费标准。中外合作办学和非全日制研究生教育收费政策，由各省制定。</w:t>
      </w:r>
    </w:p>
    <w:p w14:paraId="1FB225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（五）坚持实施民办教育收费分类管理。</w:t>
      </w:r>
      <w:r>
        <w:rPr>
          <w:rFonts w:hint="eastAsia" w:ascii="仿宋" w:hAnsi="仿宋" w:eastAsia="仿宋" w:cs="仿宋"/>
          <w:i w:val="0"/>
          <w:iCs w:val="0"/>
          <w:caps w:val="0"/>
          <w:color w:val="auto"/>
          <w:spacing w:val="0"/>
          <w:sz w:val="24"/>
          <w:szCs w:val="24"/>
          <w:shd w:val="clear" w:color="auto" w:fill="FFFFFF"/>
        </w:rPr>
        <w:t>按照民办教育促进法有关规定，非营利性民办学校收费的具体办法</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由省级人民政府制定</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营利性民办学校的收费标准</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实行市场调节</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由学校自主决定。普惠性民办幼儿园收费标准根据各省级人民政府出台的普惠性民办幼儿园认定管理办法，统筹考虑公办幼儿园和普惠性民办幼儿园收费水平，结合经济发展水平、群众承受能力、办园成本和财政补助水平等因素合理确定。各地要加快制定并落实普惠性民办幼儿园财政补助标准，落实义务教育阶段民办学校生均公用经费补助，加强收费标准调控，坚决防止过高收费。2016年11月7日以前设立的民办学校，在未完成分类登记相关程序前收费政策按非营利性民办学校管理。</w:t>
      </w:r>
    </w:p>
    <w:p w14:paraId="560920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（六）完善学校服务性收费和代收费等政策。</w:t>
      </w:r>
      <w:r>
        <w:rPr>
          <w:rFonts w:hint="eastAsia" w:ascii="仿宋" w:hAnsi="仿宋" w:eastAsia="仿宋" w:cs="仿宋"/>
          <w:i w:val="0"/>
          <w:iCs w:val="0"/>
          <w:caps w:val="0"/>
          <w:color w:val="auto"/>
          <w:spacing w:val="0"/>
          <w:sz w:val="24"/>
          <w:szCs w:val="24"/>
          <w:shd w:val="clear" w:color="auto" w:fill="FFFFFF"/>
        </w:rPr>
        <w:t>学校在完成正常的保育、教育教学任务外，为在校学生提供学习、生活所需的相关便利服务，以及组织开展研学旅行、课后服务、社会实践等活动，对应由学生或学生家长承担的部分，可根据自愿和非营利原则收取服务性费用。相关服务由学校之外的机构或个人提供的，学校可代收代付相关费用。学校服务性收费和代收费具体政策，由各省制定。国家已明令禁止的或明确规定由财政保障的项目不得纳入服务性收费和代收费，学校不得擅自设立服务性收费和代收费项目，不得在代收费中获取差价，不得强制或者暗示学生及家长购买指定的教辅软件或资料，不得通过提前开学等形式或变相违规补课加收相关费用。校内学生宿舍和社会力量举办的校外学生公寓，均不得强制提供相关生活服务或将服务性收费与住宿费捆绑收取。学校自主经营的食堂向自愿就餐的学生收取伙食费，应坚持公益性原则，不得以营利为目的。</w:t>
      </w:r>
    </w:p>
    <w:p w14:paraId="6A2221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（七）完善在内地（祖国大陆）学习的港澳台侨学生收费政策。</w:t>
      </w:r>
      <w:r>
        <w:rPr>
          <w:rFonts w:hint="eastAsia" w:ascii="仿宋" w:hAnsi="仿宋" w:eastAsia="仿宋" w:cs="仿宋"/>
          <w:i w:val="0"/>
          <w:iCs w:val="0"/>
          <w:caps w:val="0"/>
          <w:color w:val="auto"/>
          <w:spacing w:val="0"/>
          <w:sz w:val="24"/>
          <w:szCs w:val="24"/>
          <w:shd w:val="clear" w:color="auto" w:fill="FFFFFF"/>
        </w:rPr>
        <w:t>对于在内地（祖国大陆）学习的港澳台地区学生以及海外华侨学生，在中小学校和幼儿园学习的，按照有关规定执行与内地（祖国大陆）学生相同的收费政策；录取到内地（祖国大陆）普通高等学校和科研院所学习的，按照有关规定执行与内地（祖国大陆）同类学生相同的收费标准。</w:t>
      </w:r>
    </w:p>
    <w:p w14:paraId="322C73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（八）完善国际学生收费政策。</w:t>
      </w:r>
      <w:r>
        <w:rPr>
          <w:rFonts w:hint="eastAsia" w:ascii="仿宋" w:hAnsi="仿宋" w:eastAsia="仿宋" w:cs="仿宋"/>
          <w:i w:val="0"/>
          <w:iCs w:val="0"/>
          <w:caps w:val="0"/>
          <w:color w:val="auto"/>
          <w:spacing w:val="0"/>
          <w:sz w:val="24"/>
          <w:szCs w:val="24"/>
          <w:shd w:val="clear" w:color="auto" w:fill="FFFFFF"/>
        </w:rPr>
        <w:t>在公办中小学、幼儿园就读的国际学生，收费政策由各省制定。外籍人员子女学校收费政策，由学校自主制定。高等学校接收的自费来华留学生收费标准由学校根据当地经济社会发展水平和培养成本等因素合理确定，避免引发恶性竞争。根据我国政府与派遣国协议来华接受教育的学生，收费政策按照有关规定执行。</w:t>
      </w:r>
    </w:p>
    <w:p w14:paraId="5088CB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Style w:val="14"/>
          <w:rFonts w:hint="eastAsia" w:ascii="黑体" w:hAnsi="黑体" w:eastAsia="黑体" w:cs="黑体"/>
          <w:i w:val="0"/>
          <w:iCs w:val="0"/>
          <w:caps w:val="0"/>
          <w:color w:val="auto"/>
          <w:spacing w:val="0"/>
          <w:sz w:val="24"/>
          <w:szCs w:val="24"/>
          <w:shd w:val="clear" w:color="auto" w:fill="FFFFFF"/>
        </w:rPr>
      </w:pPr>
    </w:p>
    <w:p w14:paraId="2738AD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三、健全教育收费管理制度</w:t>
      </w:r>
    </w:p>
    <w:p w14:paraId="54CD65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（九）建立健全教育收费标准动态调整机制。</w:t>
      </w:r>
      <w:r>
        <w:rPr>
          <w:rFonts w:hint="eastAsia" w:ascii="仿宋" w:hAnsi="仿宋" w:eastAsia="仿宋" w:cs="仿宋"/>
          <w:i w:val="0"/>
          <w:iCs w:val="0"/>
          <w:caps w:val="0"/>
          <w:color w:val="auto"/>
          <w:spacing w:val="0"/>
          <w:sz w:val="24"/>
          <w:szCs w:val="24"/>
          <w:shd w:val="clear" w:color="auto" w:fill="FFFFFF"/>
        </w:rPr>
        <w:t>各地应按照规定的管理权限和属地化管理原则，综合考虑经济社会发展水平、教育培养成本和群众承受能力等因素，合理确定公办学校学费（保育教育费）、住宿费等收费标准，建立与拨款、资助水平等相适应的收费标准动态调整机制。学校收费政策有变化的，应在招生简章发布前向社会公示。鼓励各地适应弹性学制下的教学组织模式，探索实行高等学校学分制收费管理。经批准实行学分制收费的学校，学生按学分制培养方案正常完成学业所缴纳的学费总额原则上不得高于实行学年制的学费总额，加修其他专业课程或重修课程，学校可按所修课程规定的学分收费标准收取费用。学费、住宿费的收取实行“老生老办法、新生新办法”，按照学年或学期收取，不得跨学年（学期）预收。学生如因故休学、退学、提前结束学业或经批准转学，学校应根据实际学习时间合理确定退费额度。各地要全面落实国家各项资助政策，帮助家庭经济困难学生解决实际问题，不得因学费标准调整影响学生的正常学习和生活。</w:t>
      </w:r>
    </w:p>
    <w:p w14:paraId="05ECB6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（十）加强教育培养成本调查。</w:t>
      </w:r>
      <w:r>
        <w:rPr>
          <w:rFonts w:hint="eastAsia" w:ascii="仿宋" w:hAnsi="仿宋" w:eastAsia="仿宋" w:cs="仿宋"/>
          <w:i w:val="0"/>
          <w:iCs w:val="0"/>
          <w:caps w:val="0"/>
          <w:color w:val="auto"/>
          <w:spacing w:val="0"/>
          <w:sz w:val="24"/>
          <w:szCs w:val="24"/>
          <w:shd w:val="clear" w:color="auto" w:fill="FFFFFF"/>
        </w:rPr>
        <w:t>适时修订完善《高等学校教育培养成本监审办法（试行）》，组织做好高等学校年生均教育培养成本监审工作。各省按照定价权限根据价格法、《政府制定价格成本监审办法》等，结合本地实际，主动开展幼儿园、普通高中、中等职业学校教育培养成本调查工作，规范教育培养成本调查行为。各级各类学校应当加强成本核算，完整准确记录并核算教育培养成本。</w:t>
      </w:r>
    </w:p>
    <w:p w14:paraId="098450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（十一）规范教育收费决策听证制度。</w:t>
      </w:r>
      <w:r>
        <w:rPr>
          <w:rFonts w:hint="eastAsia" w:ascii="仿宋" w:hAnsi="仿宋" w:eastAsia="仿宋" w:cs="仿宋"/>
          <w:i w:val="0"/>
          <w:iCs w:val="0"/>
          <w:caps w:val="0"/>
          <w:color w:val="auto"/>
          <w:spacing w:val="0"/>
          <w:sz w:val="24"/>
          <w:szCs w:val="24"/>
          <w:shd w:val="clear" w:color="auto" w:fill="FFFFFF"/>
        </w:rPr>
        <w:t>各地要严格按照国家规定的权限和程序制定或调整政府举办的各级各类学校学费等收费标准，纳入定价听证目录并实行听证，充分征求社会有关方面意见，确保教育收费决策的民主性、科学性和透明度。降低教育收费标准，或教育收费标准调整涉及面较小的，听证会可采取简易程序。制定其他的教育收费标准，认为有必要的，也可以实行听证。</w:t>
      </w:r>
    </w:p>
    <w:p w14:paraId="0C0787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（十二）严格执行教育收费公示制度。</w:t>
      </w:r>
      <w:r>
        <w:rPr>
          <w:rFonts w:hint="eastAsia" w:ascii="仿宋" w:hAnsi="仿宋" w:eastAsia="仿宋" w:cs="仿宋"/>
          <w:i w:val="0"/>
          <w:iCs w:val="0"/>
          <w:caps w:val="0"/>
          <w:color w:val="auto"/>
          <w:spacing w:val="0"/>
          <w:sz w:val="24"/>
          <w:szCs w:val="24"/>
          <w:shd w:val="clear" w:color="auto" w:fill="FFFFFF"/>
        </w:rPr>
        <w:t>各地要严格执行教育收费公示制度，未经公示不得收费。各级各类学校应建立健全规范化的收费公示动态管理制度，主动接受社会监督。应将收费项目和标准在校内醒目位置向学生公示，在招生简章和入学通知书中注明。义务教育阶段民办学校收费标准应和学校获得的生均公用经费补助一并公示。对按规定应当公示而未公示的收费，或公示内容与规定政策不符的收费，学生有权拒绝缴纳。收费政策变动时，学校要及时更新公示内容，确保公示内容合法、有效。各地要严格执行教育收费等行政事业性收费目录清单，不得擅自增加收费项目、扩大收费范围。</w:t>
      </w:r>
    </w:p>
    <w:p w14:paraId="46DAFA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（十三）加强教育收费收支管理。</w:t>
      </w:r>
      <w:r>
        <w:rPr>
          <w:rFonts w:hint="eastAsia" w:ascii="仿宋" w:hAnsi="仿宋" w:eastAsia="仿宋" w:cs="仿宋"/>
          <w:i w:val="0"/>
          <w:iCs w:val="0"/>
          <w:caps w:val="0"/>
          <w:color w:val="auto"/>
          <w:spacing w:val="0"/>
          <w:sz w:val="24"/>
          <w:szCs w:val="24"/>
          <w:shd w:val="clear" w:color="auto" w:fill="FFFFFF"/>
        </w:rPr>
        <w:t>公办普通高中和中等职业学校学费、住宿费，公办高等学校学费、住宿费、委托培养费、函大电大夜大及短期培训费等收入，作为事业收入，按照“收支两条线”要求，纳入财政专户管理。公办幼儿园收费收入管理按现行规定执行。服务性收费收入由学校按规定列支；代收费收入由学校全部转交提供服务的单位，不得计入学校收入。学校要将教育收费收支全部纳入部门预算管理，加大资金统筹力度；教育收费安排的相关支出按规定纳入项目库规范管理。结合教育收费等其他收入情况，统筹安排财政拨款预算，更好发挥财政资金使用效益。各地不得将学校收费收入用于平衡预算，不得以任何形式挤占、截留、平调、挪用学校收费资金。民办学校收费收入应全部缴入经教育行政部门备案的学校银行账户，统一管理，主要用于教育教学活动、改善办学条件和保障教职工待遇并依据有关法律法规提取发展基金。学校收取行政事业性收费时要按照财务隶属关系使用财政部门印（监）制的财政票据，在收取服务性收费时应使用相应的税务发票，代收费时应使用资金往来结算票据。</w:t>
      </w:r>
    </w:p>
    <w:p w14:paraId="047ABD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Style w:val="14"/>
          <w:rFonts w:hint="eastAsia" w:ascii="黑体" w:hAnsi="黑体" w:eastAsia="黑体" w:cs="黑体"/>
          <w:i w:val="0"/>
          <w:iCs w:val="0"/>
          <w:caps w:val="0"/>
          <w:color w:val="auto"/>
          <w:spacing w:val="0"/>
          <w:sz w:val="24"/>
          <w:szCs w:val="24"/>
          <w:shd w:val="clear" w:color="auto" w:fill="FFFFFF"/>
        </w:rPr>
      </w:pPr>
      <w:r>
        <w:rPr>
          <w:rStyle w:val="14"/>
          <w:rFonts w:hint="eastAsia" w:ascii="黑体" w:hAnsi="黑体" w:eastAsia="黑体" w:cs="黑体"/>
          <w:i w:val="0"/>
          <w:iCs w:val="0"/>
          <w:caps w:val="0"/>
          <w:color w:val="auto"/>
          <w:spacing w:val="0"/>
          <w:sz w:val="24"/>
          <w:szCs w:val="24"/>
          <w:shd w:val="clear" w:color="auto" w:fill="FFFFFF"/>
        </w:rPr>
        <w:t>四、加强教育收费治理</w:t>
      </w:r>
    </w:p>
    <w:p w14:paraId="2D377A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（十四）落实教育收费监管责任。</w:t>
      </w:r>
      <w:r>
        <w:rPr>
          <w:rFonts w:hint="eastAsia" w:ascii="仿宋" w:hAnsi="仿宋" w:eastAsia="仿宋" w:cs="仿宋"/>
          <w:i w:val="0"/>
          <w:iCs w:val="0"/>
          <w:caps w:val="0"/>
          <w:color w:val="auto"/>
          <w:spacing w:val="0"/>
          <w:sz w:val="24"/>
          <w:szCs w:val="24"/>
          <w:shd w:val="clear" w:color="auto" w:fill="FFFFFF"/>
        </w:rPr>
        <w:t>教育收费坚持“谁审批、谁负责”的原则。治理教育乱收费联席会议成员单位按照各自职责，将教育收费纳入目录管理，适时动态调整并及时向社会公布，依法对相关收费项目和收费标准的执行情况实施监督；加强教育收费成本调查，建立健全收费标准动态调整机制；加强教育领域的收费监督检查，依法查处违法违规收费行为；加强教材、教辅材料价格管理；指导各级各类学校落实教育收费政策，规范收费行为。各级各类学校要严格执行规定的收费范围、收费项目、收费标准和收费方式，建立健全学校收费管理制度。</w:t>
      </w:r>
    </w:p>
    <w:p w14:paraId="113674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（十五）完善教育收费治理工作机制。</w:t>
      </w:r>
      <w:r>
        <w:rPr>
          <w:rFonts w:hint="eastAsia" w:ascii="仿宋" w:hAnsi="仿宋" w:eastAsia="仿宋" w:cs="仿宋"/>
          <w:i w:val="0"/>
          <w:iCs w:val="0"/>
          <w:caps w:val="0"/>
          <w:color w:val="auto"/>
          <w:spacing w:val="0"/>
          <w:sz w:val="24"/>
          <w:szCs w:val="24"/>
          <w:shd w:val="clear" w:color="auto" w:fill="FFFFFF"/>
        </w:rPr>
        <w:t>各地要高度重视教育收费管理工作，建立健全领导体制和工作机制，坚持系统推进教育收费管理工作。各地治理教育乱收费联席会议成员单位要统筹协调，完善定期会商、信息发布机制，形成责任明确、协作联动、互相促进的收费管理工作格局，加强重点领域教育收费治理。要把教育收费管理纳入教育督导范围。探索建立学校收费专项审计制度，重点加强对非营利性民办学校的审计，严禁非营利性民办学校举办者和非营利性中外合作办学者通过各种方式从学费收入等办学收益中取得收益、分配办学结余（剩余财产）或通过关联交易、关联方转移办学收益等行为。</w:t>
      </w:r>
    </w:p>
    <w:p w14:paraId="4AE9C8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（十六）加大违规收费行为的查处力度。</w:t>
      </w:r>
      <w:r>
        <w:rPr>
          <w:rFonts w:hint="eastAsia" w:ascii="仿宋" w:hAnsi="仿宋" w:eastAsia="仿宋" w:cs="仿宋"/>
          <w:i w:val="0"/>
          <w:iCs w:val="0"/>
          <w:caps w:val="0"/>
          <w:color w:val="auto"/>
          <w:spacing w:val="0"/>
          <w:sz w:val="24"/>
          <w:szCs w:val="24"/>
          <w:shd w:val="clear" w:color="auto" w:fill="FFFFFF"/>
        </w:rPr>
        <w:t>各地要加强对教育收费的日常监督和定期检查，建立完善教育收费风险预警、信访受理、督查督办、公开通报及约谈机制，对发现的违规收费问题要严肃处理。建立健全问责机制，对收费管理主体责任不落实、措施不到位，损坏群众切身利益，造成恶劣社会影响的单位和相关责任人要严肃问责。对民办学校违规乱收费造成恶劣影响的，依法依规扣减招生计划、财政扶持资金等，直至撤销、吊销办学许可证。</w:t>
      </w:r>
    </w:p>
    <w:p w14:paraId="184F54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（十七）加强教育收费治理基础能力建设。</w:t>
      </w:r>
      <w:r>
        <w:rPr>
          <w:rFonts w:hint="eastAsia" w:ascii="仿宋" w:hAnsi="仿宋" w:eastAsia="仿宋" w:cs="仿宋"/>
          <w:i w:val="0"/>
          <w:iCs w:val="0"/>
          <w:caps w:val="0"/>
          <w:color w:val="auto"/>
          <w:spacing w:val="0"/>
          <w:sz w:val="24"/>
          <w:szCs w:val="24"/>
          <w:shd w:val="clear" w:color="auto" w:fill="FFFFFF"/>
        </w:rPr>
        <w:t>贯彻落实《全国教育系统财务管理干部培训实施方案》，组织开展教育收费管理培训，提高教育收费治理能力和水平。各地要充分利用现代信息技术，探索建立教育收费年度统计报告制度，加强教育收费管理，进一步强化服务意识，提高服务能力和水平。</w:t>
      </w:r>
    </w:p>
    <w:p w14:paraId="722CF0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各级科研院所、党校等教育收费管理参照本意见执行，各级教育部门所属事业单位收费管理政策另行制定。</w:t>
      </w:r>
    </w:p>
    <w:p w14:paraId="24AB66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shd w:val="clear" w:color="auto" w:fill="FFFFFF"/>
        </w:rPr>
      </w:pPr>
    </w:p>
    <w:p w14:paraId="65D6B065">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3B80343B">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69C30406">
      <w:pPr>
        <w:keepNext w:val="0"/>
        <w:keepLines w:val="0"/>
        <w:pageBreakBefore w:val="0"/>
        <w:kinsoku/>
        <w:wordWrap/>
        <w:overflowPunct/>
        <w:topLinePunct w:val="0"/>
        <w:autoSpaceDE/>
        <w:autoSpaceDN/>
        <w:bidi w:val="0"/>
        <w:adjustRightInd/>
        <w:snapToGrid/>
        <w:spacing w:line="240" w:lineRule="auto"/>
        <w:textAlignment w:val="auto"/>
        <w:rPr>
          <w:color w:val="auto"/>
          <w:sz w:val="18"/>
          <w:szCs w:val="21"/>
        </w:rPr>
      </w:pPr>
    </w:p>
    <w:p w14:paraId="01BA92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shd w:val="clear" w:color="auto" w:fill="FFFFFF"/>
        </w:rPr>
      </w:pPr>
      <w:r>
        <w:rPr>
          <w:rFonts w:hint="eastAsia" w:ascii="宋体" w:hAnsi="宋体" w:eastAsia="宋体" w:cs="宋体"/>
          <w:i w:val="0"/>
          <w:iCs w:val="0"/>
          <w:caps w:val="0"/>
          <w:color w:val="auto"/>
          <w:spacing w:val="0"/>
          <w:sz w:val="36"/>
          <w:szCs w:val="36"/>
          <w:shd w:val="clear" w:color="auto" w:fill="FFFFFF"/>
        </w:rPr>
        <w:br w:type="page"/>
      </w:r>
      <w:bookmarkStart w:id="62" w:name="_Toc25634"/>
      <w:bookmarkStart w:id="63" w:name="_Toc12234"/>
      <w:r>
        <w:rPr>
          <w:rFonts w:hint="eastAsia" w:ascii="宋体" w:hAnsi="宋体" w:eastAsia="宋体" w:cs="宋体"/>
          <w:i w:val="0"/>
          <w:iCs w:val="0"/>
          <w:caps w:val="0"/>
          <w:color w:val="auto"/>
          <w:spacing w:val="0"/>
          <w:sz w:val="36"/>
          <w:szCs w:val="36"/>
          <w:shd w:val="clear" w:color="auto" w:fill="FFFFFF"/>
        </w:rPr>
        <w:t>教育部办公厅印发《关于防范和惩治教育统计造假弄虚作假责任制规定（试行）》的通知</w:t>
      </w:r>
      <w:bookmarkEnd w:id="62"/>
      <w:bookmarkEnd w:id="63"/>
    </w:p>
    <w:p w14:paraId="160C94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教发厅函〔2020〕49号</w:t>
      </w:r>
    </w:p>
    <w:p w14:paraId="6BEEEB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各省、自治区、直辖市教育厅（教委），新疆生产建设兵团教育局，部内有关司局、有关直属单位：</w:t>
      </w:r>
    </w:p>
    <w:p w14:paraId="13626C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为贯彻落实党中央、国务院关于统计工作的决策部署，落实中央《关于深化统计管理体制改革提高统计数据真实性的意见》要求，我部制定了《关于防范和惩治教育统计造假弄虚作假责任制规定（试行）》，现印发给你们，请认真贯彻执行。</w:t>
      </w:r>
    </w:p>
    <w:p w14:paraId="4F6FB3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i w:val="0"/>
          <w:iCs w:val="0"/>
          <w:caps w:val="0"/>
          <w:color w:val="auto"/>
          <w:spacing w:val="0"/>
          <w:sz w:val="24"/>
          <w:szCs w:val="24"/>
          <w:shd w:val="clear" w:color="auto" w:fill="FFFFFF"/>
        </w:rPr>
      </w:pPr>
    </w:p>
    <w:p w14:paraId="10926C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i w:val="0"/>
          <w:iCs w:val="0"/>
          <w:caps w:val="0"/>
          <w:color w:val="auto"/>
          <w:spacing w:val="0"/>
          <w:sz w:val="24"/>
          <w:szCs w:val="24"/>
          <w:shd w:val="clear" w:color="auto" w:fill="FFFFFF"/>
        </w:rPr>
      </w:pPr>
    </w:p>
    <w:p w14:paraId="53B9D5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教育部办公厅</w:t>
      </w:r>
    </w:p>
    <w:p w14:paraId="534144C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2020年9月22日</w:t>
      </w:r>
    </w:p>
    <w:p w14:paraId="653AFA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微软雅黑" w:hAnsi="微软雅黑" w:eastAsia="微软雅黑" w:cs="微软雅黑"/>
          <w:i w:val="0"/>
          <w:iCs w:val="0"/>
          <w:caps w:val="0"/>
          <w:color w:val="auto"/>
          <w:spacing w:val="0"/>
          <w:sz w:val="21"/>
          <w:szCs w:val="21"/>
          <w:shd w:val="clear" w:color="auto" w:fill="FFFFFF"/>
        </w:rPr>
      </w:pPr>
    </w:p>
    <w:p w14:paraId="2CC069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微软雅黑" w:hAnsi="微软雅黑" w:eastAsia="微软雅黑" w:cs="微软雅黑"/>
          <w:i w:val="0"/>
          <w:iCs w:val="0"/>
          <w:caps w:val="0"/>
          <w:color w:val="auto"/>
          <w:spacing w:val="0"/>
          <w:sz w:val="21"/>
          <w:szCs w:val="21"/>
          <w:shd w:val="clear" w:color="auto" w:fill="FFFFFF"/>
        </w:rPr>
      </w:pPr>
    </w:p>
    <w:p w14:paraId="0110D3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微软雅黑" w:hAnsi="微软雅黑" w:eastAsia="微软雅黑" w:cs="微软雅黑"/>
          <w:i w:val="0"/>
          <w:iCs w:val="0"/>
          <w:caps w:val="0"/>
          <w:color w:val="auto"/>
          <w:spacing w:val="0"/>
          <w:sz w:val="21"/>
          <w:szCs w:val="21"/>
          <w:shd w:val="clear" w:color="auto" w:fill="FFFFFF"/>
        </w:rPr>
      </w:pPr>
    </w:p>
    <w:p w14:paraId="767EB5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微软雅黑" w:hAnsi="微软雅黑" w:eastAsia="微软雅黑" w:cs="微软雅黑"/>
          <w:i w:val="0"/>
          <w:iCs w:val="0"/>
          <w:caps w:val="0"/>
          <w:color w:val="auto"/>
          <w:spacing w:val="0"/>
          <w:sz w:val="21"/>
          <w:szCs w:val="21"/>
          <w:shd w:val="clear" w:color="auto" w:fill="FFFFFF"/>
        </w:rPr>
      </w:pPr>
    </w:p>
    <w:p w14:paraId="771DE4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微软雅黑" w:hAnsi="微软雅黑" w:eastAsia="微软雅黑" w:cs="微软雅黑"/>
          <w:i w:val="0"/>
          <w:iCs w:val="0"/>
          <w:caps w:val="0"/>
          <w:color w:val="auto"/>
          <w:spacing w:val="0"/>
          <w:sz w:val="21"/>
          <w:szCs w:val="21"/>
          <w:shd w:val="clear" w:color="auto" w:fill="FFFFFF"/>
        </w:rPr>
      </w:pPr>
    </w:p>
    <w:p w14:paraId="3B7302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i w:val="0"/>
          <w:iCs w:val="0"/>
          <w:caps w:val="0"/>
          <w:color w:val="auto"/>
          <w:spacing w:val="0"/>
          <w:sz w:val="36"/>
          <w:szCs w:val="36"/>
          <w:shd w:val="clear" w:color="auto" w:fill="FFFFFF"/>
        </w:rPr>
      </w:pPr>
      <w:r>
        <w:rPr>
          <w:rFonts w:hint="eastAsia" w:ascii="宋体" w:hAnsi="宋体" w:eastAsia="宋体" w:cs="宋体"/>
          <w:b/>
          <w:bCs/>
          <w:i w:val="0"/>
          <w:iCs w:val="0"/>
          <w:caps w:val="0"/>
          <w:color w:val="auto"/>
          <w:spacing w:val="0"/>
          <w:sz w:val="36"/>
          <w:szCs w:val="36"/>
          <w:shd w:val="clear" w:color="auto" w:fill="FFFFFF"/>
        </w:rPr>
        <w:br w:type="page"/>
      </w:r>
      <w:r>
        <w:rPr>
          <w:rFonts w:hint="eastAsia" w:ascii="宋体" w:hAnsi="宋体" w:eastAsia="宋体" w:cs="宋体"/>
          <w:b/>
          <w:bCs/>
          <w:i w:val="0"/>
          <w:iCs w:val="0"/>
          <w:caps w:val="0"/>
          <w:color w:val="auto"/>
          <w:spacing w:val="0"/>
          <w:sz w:val="36"/>
          <w:szCs w:val="36"/>
          <w:shd w:val="clear" w:color="auto" w:fill="FFFFFF"/>
        </w:rPr>
        <w:t>关于防范和惩治教育统计造假弄虚作假责任制</w:t>
      </w:r>
    </w:p>
    <w:p w14:paraId="4E0E5C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i w:val="0"/>
          <w:iCs w:val="0"/>
          <w:caps w:val="0"/>
          <w:color w:val="auto"/>
          <w:spacing w:val="0"/>
          <w:sz w:val="36"/>
          <w:szCs w:val="36"/>
          <w:shd w:val="clear" w:color="auto" w:fill="FFFFFF"/>
        </w:rPr>
      </w:pPr>
      <w:r>
        <w:rPr>
          <w:rFonts w:hint="eastAsia" w:ascii="宋体" w:hAnsi="宋体" w:eastAsia="宋体" w:cs="宋体"/>
          <w:b/>
          <w:bCs/>
          <w:i w:val="0"/>
          <w:iCs w:val="0"/>
          <w:caps w:val="0"/>
          <w:color w:val="auto"/>
          <w:spacing w:val="0"/>
          <w:sz w:val="36"/>
          <w:szCs w:val="36"/>
          <w:shd w:val="clear" w:color="auto" w:fill="FFFFFF"/>
        </w:rPr>
        <w:t>规定（试行）</w:t>
      </w:r>
    </w:p>
    <w:p w14:paraId="2034E6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i w:val="0"/>
          <w:iCs w:val="0"/>
          <w:caps w:val="0"/>
          <w:color w:val="auto"/>
          <w:spacing w:val="0"/>
          <w:sz w:val="24"/>
          <w:szCs w:val="24"/>
          <w:shd w:val="clear" w:color="auto" w:fill="FFFFFF"/>
        </w:rPr>
        <w:t xml:space="preserve"> 为防范和惩治教育统计造假、弄虚作假，健全落实教育统计机构领导责任制，保障统计数据质量，根据《中华人民共和国统计法》《中华人民共和国统计法实施条例》《统计违纪违法责任人处分处理建议办法》等法律法规和政策规定，制定本规定。</w:t>
      </w:r>
    </w:p>
    <w:p w14:paraId="79DBCC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i w:val="0"/>
          <w:iCs w:val="0"/>
          <w:caps w:val="0"/>
          <w:color w:val="auto"/>
          <w:spacing w:val="0"/>
          <w:sz w:val="24"/>
          <w:szCs w:val="24"/>
          <w:shd w:val="clear" w:color="auto" w:fill="FFFFFF"/>
        </w:rPr>
        <w:t xml:space="preserve"> 本规定适用于各级教育行政部门负责教育统计管理和工作的人员。</w:t>
      </w:r>
    </w:p>
    <w:p w14:paraId="32FE1E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i w:val="0"/>
          <w:iCs w:val="0"/>
          <w:caps w:val="0"/>
          <w:color w:val="auto"/>
          <w:spacing w:val="0"/>
          <w:sz w:val="24"/>
          <w:szCs w:val="24"/>
          <w:shd w:val="clear" w:color="auto" w:fill="FFFFFF"/>
        </w:rPr>
        <w:t xml:space="preserve"> 健全防范和惩治统计造假、弄虚作假责任制，要坚持集体领导与个人分工负责相结合，按照“谁主管、谁负责，谁统计、谁负责”的原则，建立一级抓一级、层层抓落实的责任体系。</w:t>
      </w:r>
    </w:p>
    <w:p w14:paraId="3045F4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i w:val="0"/>
          <w:iCs w:val="0"/>
          <w:caps w:val="0"/>
          <w:color w:val="auto"/>
          <w:spacing w:val="0"/>
          <w:sz w:val="24"/>
          <w:szCs w:val="24"/>
          <w:shd w:val="clear" w:color="auto" w:fill="FFFFFF"/>
        </w:rPr>
        <w:t xml:space="preserve"> 各级教育行政部门主要负责人对防范统计造假、弄虚作假工作负主要领导责任；分管教育统计负责人负直接领导责任。</w:t>
      </w:r>
    </w:p>
    <w:p w14:paraId="229C68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主要责任是组织贯彻落实党中央、国务院关于统计工作的决策部署；推动建立防范统计造假、弄虚作假责任机制；主持研究制定防范和惩治统计造假、弄虚作假工作规划和措施；带头遵守执行统计法律法规规章；健全教育统计工作机制，加强统计人员队伍建设，保障教育统计工作经费和条件。</w:t>
      </w:r>
    </w:p>
    <w:p w14:paraId="542E13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i w:val="0"/>
          <w:iCs w:val="0"/>
          <w:caps w:val="0"/>
          <w:color w:val="auto"/>
          <w:spacing w:val="0"/>
          <w:sz w:val="24"/>
          <w:szCs w:val="24"/>
          <w:shd w:val="clear" w:color="auto" w:fill="FFFFFF"/>
        </w:rPr>
        <w:t xml:space="preserve"> 各级教育行政部门综合统计机构主要负责人对防范统计造假、弄虚作假工作负主体责任。</w:t>
      </w:r>
    </w:p>
    <w:p w14:paraId="080B42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主要责任是带头遵守执行统计法律法规规章；组织推动宣传和贯彻实施统计有关法律法规；研究制定并实施防范和惩治统计造假、弄虚作假工作有关制度；组织修订教育统计调查制度，推动依法科学规范开展统计调查；建立健全落实教育统计数据质量控制制度；组织协调教育统计工作监督、检查，开展数据质量核查与评估工作；协调解决其他重大问题。</w:t>
      </w:r>
    </w:p>
    <w:p w14:paraId="7A5178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i w:val="0"/>
          <w:iCs w:val="0"/>
          <w:caps w:val="0"/>
          <w:color w:val="auto"/>
          <w:spacing w:val="0"/>
          <w:sz w:val="24"/>
          <w:szCs w:val="24"/>
          <w:shd w:val="clear" w:color="auto" w:fill="FFFFFF"/>
        </w:rPr>
        <w:t xml:space="preserve"> 各级教育行政部门具体承担教育统计任务的机构主要负责人对防范统计造假、弄虚作假工作负第一责任。</w:t>
      </w:r>
    </w:p>
    <w:p w14:paraId="403262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主要责任是遵守执行统计法律法规规章；研究落实本领域防范统计造假、弄虚作假的具体任务和措施；组织本领域严格依照统计法律法规规章和统计调查制度开展统计调查，确保相关机构、人员守住统计法律法规的底线、红线；健全本领域统计调查制度设计、统计任务布置和统计数据采集、处理、存储、报送和发布等环节的数据质量控制制度；开展本领域数据质量核查工作。</w:t>
      </w:r>
    </w:p>
    <w:p w14:paraId="7F0871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i w:val="0"/>
          <w:iCs w:val="0"/>
          <w:caps w:val="0"/>
          <w:color w:val="auto"/>
          <w:spacing w:val="0"/>
          <w:sz w:val="24"/>
          <w:szCs w:val="24"/>
          <w:shd w:val="clear" w:color="auto" w:fill="FFFFFF"/>
        </w:rPr>
        <w:t xml:space="preserve"> 各级教育行政部门教育统计人员对防范统计造假、弄虚作假工作负直接责任。</w:t>
      </w:r>
    </w:p>
    <w:p w14:paraId="3F6860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主要责任是遵守执行统计法律法规规章；依法履行教育统计职责，坚持实事求是，如实采集、处理、核查、报送、汇总和发布统计资料；不得伪造、篡改统计资料，不得以任何方式要求任何单位和个人提供不真实的统计资料；对其负责采集、录入、汇总的统计资料与统计调查对象报送的统计资料的一致性负责。</w:t>
      </w:r>
    </w:p>
    <w:p w14:paraId="061E6F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i w:val="0"/>
          <w:iCs w:val="0"/>
          <w:caps w:val="0"/>
          <w:color w:val="auto"/>
          <w:spacing w:val="0"/>
          <w:sz w:val="24"/>
          <w:szCs w:val="24"/>
          <w:shd w:val="clear" w:color="auto" w:fill="FFFFFF"/>
        </w:rPr>
        <w:t xml:space="preserve"> 各级教育行政部门信息技术支持、数据处理人员对防范统计造假、弄虚作假工作负直接责任。</w:t>
      </w:r>
    </w:p>
    <w:p w14:paraId="5C8E12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主要责任是保障教育统计工作有关信息系统和信息技术支持的科学性、准确性、完备性；严格按照教育统计调查制度规定的方法进行数据处理，确保教育统计工作的信息技术支持和数据处理不受干扰；对违规干预信息技术支持和数据处理的，进行全面记录、全程留痕、保留完整档案；未经同级教育行政部门统计机构授权，不得提供、发布统计数据。</w:t>
      </w:r>
    </w:p>
    <w:p w14:paraId="41750E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i w:val="0"/>
          <w:iCs w:val="0"/>
          <w:caps w:val="0"/>
          <w:color w:val="auto"/>
          <w:spacing w:val="0"/>
          <w:sz w:val="24"/>
          <w:szCs w:val="24"/>
          <w:shd w:val="clear" w:color="auto" w:fill="FFFFFF"/>
        </w:rPr>
        <w:t xml:space="preserve"> 各级教育行政部门、各级各类学校和其他有关机构及其负责人不得自行修改教育统计机构和统计人员依法搜集、整理的教育统计资料，不得以任何方式要求统计人员伪造、篡改教育统计资料，不得对依法履行职责或者拒绝、抵制统计违法行为的统计人员打击报复。</w:t>
      </w:r>
    </w:p>
    <w:p w14:paraId="628F95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i w:val="0"/>
          <w:iCs w:val="0"/>
          <w:caps w:val="0"/>
          <w:color w:val="auto"/>
          <w:spacing w:val="0"/>
          <w:sz w:val="24"/>
          <w:szCs w:val="24"/>
          <w:shd w:val="clear" w:color="auto" w:fill="FFFFFF"/>
        </w:rPr>
        <w:t xml:space="preserve"> 违反统计法及其他相关规定，利用虚假统计资料骗取荣誉称号、物质利益或者职务晋升的，除对其编造虚假统计资料或者要求他人编造虚假统计资料的行为依法追究法律责任外，由作出有关决定的单位或者其上级单位、监察机关取消其荣誉称号，追缴获得的物质利益，撤销晋升的职务。</w:t>
      </w:r>
    </w:p>
    <w:p w14:paraId="2FC7FD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i w:val="0"/>
          <w:iCs w:val="0"/>
          <w:caps w:val="0"/>
          <w:color w:val="auto"/>
          <w:spacing w:val="0"/>
          <w:sz w:val="24"/>
          <w:szCs w:val="24"/>
          <w:shd w:val="clear" w:color="auto" w:fill="FFFFFF"/>
        </w:rPr>
        <w:t xml:space="preserve"> 各级教育行政部门防范和惩治教育统计造假、弄虚作假工作接受同级人民政府统计部门的业务指导。</w:t>
      </w:r>
    </w:p>
    <w:p w14:paraId="3F28DC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 xml:space="preserve">第十二条 </w:t>
      </w:r>
      <w:r>
        <w:rPr>
          <w:rFonts w:hint="eastAsia" w:ascii="仿宋" w:hAnsi="仿宋" w:eastAsia="仿宋" w:cs="仿宋"/>
          <w:i w:val="0"/>
          <w:iCs w:val="0"/>
          <w:caps w:val="0"/>
          <w:color w:val="auto"/>
          <w:spacing w:val="0"/>
          <w:sz w:val="24"/>
          <w:szCs w:val="24"/>
          <w:shd w:val="clear" w:color="auto" w:fill="FFFFFF"/>
        </w:rPr>
        <w:t>本规定由教育部解释，自发布之日起施行。　</w:t>
      </w:r>
    </w:p>
    <w:p w14:paraId="491F82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p>
    <w:p w14:paraId="43F2CD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shd w:val="clear" w:color="auto" w:fill="FFFFFF"/>
        </w:rPr>
      </w:pPr>
      <w:r>
        <w:rPr>
          <w:rFonts w:hint="eastAsia" w:ascii="宋体" w:hAnsi="宋体" w:eastAsia="宋体" w:cs="宋体"/>
          <w:i w:val="0"/>
          <w:iCs w:val="0"/>
          <w:caps w:val="0"/>
          <w:color w:val="auto"/>
          <w:spacing w:val="0"/>
          <w:sz w:val="36"/>
          <w:szCs w:val="36"/>
          <w:shd w:val="clear" w:color="auto" w:fill="FFFFFF"/>
        </w:rPr>
        <w:br w:type="page"/>
      </w:r>
      <w:bookmarkStart w:id="64" w:name="_Toc16935"/>
      <w:bookmarkStart w:id="65" w:name="_Toc14179"/>
      <w:r>
        <w:rPr>
          <w:rFonts w:hint="eastAsia" w:ascii="宋体" w:hAnsi="宋体" w:eastAsia="宋体" w:cs="宋体"/>
          <w:i w:val="0"/>
          <w:iCs w:val="0"/>
          <w:caps w:val="0"/>
          <w:color w:val="auto"/>
          <w:spacing w:val="0"/>
          <w:sz w:val="36"/>
          <w:szCs w:val="36"/>
          <w:shd w:val="clear" w:color="auto" w:fill="FFFFFF"/>
        </w:rPr>
        <w:t>教育部办公厅关于转发《档案管理违法违纪行为处分规定》的通知</w:t>
      </w:r>
      <w:bookmarkEnd w:id="64"/>
      <w:bookmarkEnd w:id="65"/>
    </w:p>
    <w:p w14:paraId="3D14C7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教办厅函〔2013〕11号</w:t>
      </w:r>
    </w:p>
    <w:p w14:paraId="7E8DFB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部属各高等学校、各直属单位、部内各司局：</w:t>
      </w:r>
    </w:p>
    <w:p w14:paraId="2FF661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《档案管理违法违纪行为处分规定》已经监察部、人力资源社会保障部、国家档案局令第30号公布施行，现转发给你们，请遵照执行。</w:t>
      </w:r>
    </w:p>
    <w:p w14:paraId="7D52E8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i w:val="0"/>
          <w:iCs w:val="0"/>
          <w:caps w:val="0"/>
          <w:color w:val="auto"/>
          <w:spacing w:val="0"/>
          <w:sz w:val="24"/>
          <w:szCs w:val="24"/>
          <w:shd w:val="clear" w:color="auto" w:fill="FFFFFF"/>
        </w:rPr>
      </w:pPr>
    </w:p>
    <w:p w14:paraId="2323B3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附件：档案管理违法违纪行为处分规定（监察部、人力资源社会保障部、国家档案局令第30号）</w:t>
      </w:r>
    </w:p>
    <w:p w14:paraId="4DA5BB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i w:val="0"/>
          <w:iCs w:val="0"/>
          <w:caps w:val="0"/>
          <w:color w:val="auto"/>
          <w:spacing w:val="0"/>
          <w:sz w:val="24"/>
          <w:szCs w:val="24"/>
          <w:shd w:val="clear" w:color="auto" w:fill="FFFFFF"/>
        </w:rPr>
      </w:pPr>
    </w:p>
    <w:p w14:paraId="7040A6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i w:val="0"/>
          <w:iCs w:val="0"/>
          <w:caps w:val="0"/>
          <w:color w:val="auto"/>
          <w:spacing w:val="0"/>
          <w:sz w:val="24"/>
          <w:szCs w:val="24"/>
          <w:shd w:val="clear" w:color="auto" w:fill="FFFFFF"/>
        </w:rPr>
      </w:pPr>
    </w:p>
    <w:p w14:paraId="357B26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教育部办公厅</w:t>
      </w:r>
    </w:p>
    <w:p w14:paraId="46A210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2013年3月18日</w:t>
      </w:r>
    </w:p>
    <w:p w14:paraId="6EEEDE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微软雅黑" w:hAnsi="微软雅黑" w:eastAsia="微软雅黑" w:cs="微软雅黑"/>
          <w:i w:val="0"/>
          <w:iCs w:val="0"/>
          <w:caps w:val="0"/>
          <w:color w:val="auto"/>
          <w:spacing w:val="0"/>
          <w:sz w:val="21"/>
          <w:szCs w:val="21"/>
          <w:shd w:val="clear" w:color="auto" w:fill="FFFFFF"/>
        </w:rPr>
      </w:pPr>
    </w:p>
    <w:p w14:paraId="2BE960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微软雅黑" w:hAnsi="微软雅黑" w:eastAsia="微软雅黑" w:cs="微软雅黑"/>
          <w:i w:val="0"/>
          <w:iCs w:val="0"/>
          <w:caps w:val="0"/>
          <w:color w:val="auto"/>
          <w:spacing w:val="0"/>
          <w:sz w:val="21"/>
          <w:szCs w:val="21"/>
          <w:shd w:val="clear" w:color="auto" w:fill="FFFFFF"/>
        </w:rPr>
      </w:pPr>
    </w:p>
    <w:p w14:paraId="349416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微软雅黑" w:hAnsi="微软雅黑" w:eastAsia="微软雅黑" w:cs="微软雅黑"/>
          <w:i w:val="0"/>
          <w:iCs w:val="0"/>
          <w:caps w:val="0"/>
          <w:color w:val="auto"/>
          <w:spacing w:val="0"/>
          <w:sz w:val="21"/>
          <w:szCs w:val="21"/>
          <w:shd w:val="clear" w:color="auto" w:fill="FFFFFF"/>
        </w:rPr>
      </w:pPr>
    </w:p>
    <w:p w14:paraId="2E1B96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微软雅黑" w:hAnsi="微软雅黑" w:eastAsia="微软雅黑" w:cs="微软雅黑"/>
          <w:i w:val="0"/>
          <w:iCs w:val="0"/>
          <w:caps w:val="0"/>
          <w:color w:val="auto"/>
          <w:spacing w:val="0"/>
          <w:sz w:val="21"/>
          <w:szCs w:val="21"/>
          <w:shd w:val="clear" w:color="auto" w:fill="FFFFFF"/>
        </w:rPr>
      </w:pPr>
    </w:p>
    <w:p w14:paraId="008E45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微软雅黑" w:hAnsi="微软雅黑" w:eastAsia="微软雅黑" w:cs="微软雅黑"/>
          <w:i w:val="0"/>
          <w:iCs w:val="0"/>
          <w:caps w:val="0"/>
          <w:color w:val="auto"/>
          <w:spacing w:val="0"/>
          <w:sz w:val="21"/>
          <w:szCs w:val="21"/>
          <w:shd w:val="clear" w:color="auto" w:fill="FFFFFF"/>
        </w:rPr>
      </w:pPr>
    </w:p>
    <w:p w14:paraId="49E0EF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Style w:val="14"/>
          <w:rFonts w:hint="eastAsia" w:ascii="微软雅黑" w:hAnsi="微软雅黑" w:eastAsia="微软雅黑" w:cs="微软雅黑"/>
          <w:i w:val="0"/>
          <w:iCs w:val="0"/>
          <w:caps w:val="0"/>
          <w:color w:val="auto"/>
          <w:spacing w:val="0"/>
          <w:sz w:val="21"/>
          <w:szCs w:val="21"/>
          <w:shd w:val="clear" w:color="auto" w:fill="FFFFFF"/>
        </w:rPr>
      </w:pPr>
    </w:p>
    <w:p w14:paraId="7A34EC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 w:hAnsi="仿宋" w:eastAsia="仿宋" w:cs="仿宋"/>
          <w:b/>
          <w:bCs/>
          <w:i w:val="0"/>
          <w:iCs w:val="0"/>
          <w:caps w:val="0"/>
          <w:color w:val="auto"/>
          <w:spacing w:val="0"/>
          <w:sz w:val="24"/>
          <w:szCs w:val="24"/>
          <w:shd w:val="clear" w:color="auto" w:fill="FFFFFF"/>
          <w:lang w:val="en-US" w:eastAsia="zh-CN"/>
        </w:rPr>
      </w:pPr>
      <w:r>
        <w:rPr>
          <w:rFonts w:hint="eastAsia" w:ascii="宋体" w:hAnsi="宋体" w:eastAsia="宋体" w:cs="宋体"/>
          <w:b/>
          <w:bCs/>
          <w:i w:val="0"/>
          <w:iCs w:val="0"/>
          <w:caps w:val="0"/>
          <w:color w:val="auto"/>
          <w:spacing w:val="0"/>
          <w:sz w:val="36"/>
          <w:szCs w:val="36"/>
          <w:shd w:val="clear" w:color="auto" w:fill="FFFFFF"/>
        </w:rPr>
        <w:br w:type="page"/>
      </w:r>
      <w:r>
        <w:rPr>
          <w:rFonts w:hint="eastAsia" w:ascii="黑体" w:hAnsi="黑体" w:eastAsia="黑体" w:cs="黑体"/>
          <w:b/>
          <w:bCs/>
          <w:i w:val="0"/>
          <w:iCs w:val="0"/>
          <w:caps w:val="0"/>
          <w:color w:val="auto"/>
          <w:spacing w:val="0"/>
          <w:sz w:val="24"/>
          <w:szCs w:val="24"/>
          <w:shd w:val="clear" w:color="auto" w:fill="FFFFFF"/>
          <w:lang w:val="en-US" w:eastAsia="zh-CN"/>
        </w:rPr>
        <w:t>附件</w:t>
      </w:r>
    </w:p>
    <w:p w14:paraId="39A140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i w:val="0"/>
          <w:iCs w:val="0"/>
          <w:caps w:val="0"/>
          <w:color w:val="auto"/>
          <w:spacing w:val="0"/>
          <w:sz w:val="36"/>
          <w:szCs w:val="36"/>
          <w:shd w:val="clear" w:color="auto" w:fill="FFFFFF"/>
        </w:rPr>
      </w:pPr>
      <w:r>
        <w:rPr>
          <w:rFonts w:hint="eastAsia" w:ascii="宋体" w:hAnsi="宋体" w:eastAsia="宋体" w:cs="宋体"/>
          <w:b/>
          <w:bCs/>
          <w:i w:val="0"/>
          <w:iCs w:val="0"/>
          <w:caps w:val="0"/>
          <w:color w:val="auto"/>
          <w:spacing w:val="0"/>
          <w:sz w:val="36"/>
          <w:szCs w:val="36"/>
          <w:shd w:val="clear" w:color="auto" w:fill="FFFFFF"/>
        </w:rPr>
        <w:t>档案管理违法违纪行为处分规定</w:t>
      </w:r>
    </w:p>
    <w:p w14:paraId="2F212E4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为了预防和惩处档案管理违法违纪行为，有效保护和利用档案，根据《中华人民共和国档案法</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中华人民共和国行政监察法</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中华人民共和国公务员法</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行政机关公务员处分条例》等有关法律、行政法规，制定本规定。</w:t>
      </w:r>
    </w:p>
    <w:p w14:paraId="63DF68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有档案管理违法违纪行为的单位</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其负有责任的领导人员和直接责任人员，以及有档案管理违法违纪行为的个人，应当承担纪律责任。属于下列人员的（以下统称有关责任人员），由任免机关或者监察机关按照管理权限依法给予处分：</w:t>
      </w:r>
    </w:p>
    <w:p w14:paraId="6BCFA7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（一）行政机关公务员；</w:t>
      </w:r>
    </w:p>
    <w:p w14:paraId="5EFBC5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授权的具有公共事务管理职能的组织中从事公务的人员；</w:t>
      </w:r>
    </w:p>
    <w:p w14:paraId="4C29F9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（三）行政机关依法委托从事公共事务管理活动的组织中从事公务的人员；</w:t>
      </w:r>
    </w:p>
    <w:p w14:paraId="422BBF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（四）企业、社会团体中由行政机关任命的人员。</w:t>
      </w:r>
    </w:p>
    <w:p w14:paraId="389283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事业单位工作人员有档案管理违法违纪行为的，按照《事业单位工作人员处分暂行规定》执行。</w:t>
      </w:r>
    </w:p>
    <w:p w14:paraId="13B811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法律、行政法规、国务院决定及国务院监察机关、国务院人力资源社会保障部门制定的规章对档案管理违法违纪行为的处分另有规定的，从其规定。</w:t>
      </w:r>
    </w:p>
    <w:p w14:paraId="6406D6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将公务活动中形成的应当归档的文件材料、资料据为己有，拒绝交档案机构、档案工作人员归档的，对有关责任人员，给予警告处分；情节较重的，给予记过或者记大过处分；情节严重的，给予降级或者撤职处分。</w:t>
      </w:r>
    </w:p>
    <w:p w14:paraId="365F42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拒不按照国家规定向指定的国家档案馆移交档案的，对有关责任人员，给予警告或者记过处分；情节较重的，给予记大过或者降级处分；情节严重的，给予撤职处分。</w:t>
      </w:r>
    </w:p>
    <w:p w14:paraId="7C077B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出卖或者违反国家规定转让、交换以及赠送档案的，对有关责任人员，给予撤职或者开除处分。</w:t>
      </w:r>
    </w:p>
    <w:p w14:paraId="10E88C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利用职务之便，将所保管的档案据为己有的，对有关责任人员，给予记大过处分；情节较重的，给予降级或者撤职处分；情节严重的，给予开除处分。</w:t>
      </w:r>
    </w:p>
    <w:p w14:paraId="08F3AF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因工作不负责任或者不遵守档案工作制度，导致档案损毁、丢失的，对有关责任人员，给予记过处分；情节较重的，给予记大过或者降级处分；情节严重的，给予撤职或者开除处分。</w:t>
      </w:r>
    </w:p>
    <w:p w14:paraId="0B06F6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擅自销毁档案的，对有关责任人员，给予记过处分；情节较重的，给予记大过或者降级处分；情节严重的，给予撤职或者开除处分。</w:t>
      </w:r>
    </w:p>
    <w:p w14:paraId="0D86A23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有下列行为之一的，对有关责任人员，给予记过或者记大过处分；情节较重的，给予降级或者撤职处分；情节严重的，给予开除处分：</w:t>
      </w:r>
    </w:p>
    <w:p w14:paraId="542C1D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（一）涂改、伪造档案的；</w:t>
      </w:r>
    </w:p>
    <w:p w14:paraId="33ADD7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（二）擅自从档案中抽取、撤换、添加档案材料的。</w:t>
      </w:r>
    </w:p>
    <w:p w14:paraId="058CED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携运、邮寄禁止出境的档案或者其复制件出境的，对有关责任人员，给予警告、记过或者记大过处分</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情节较重的，给予降级或者撤职处分；情节严重的，给予开除处分。</w:t>
      </w:r>
    </w:p>
    <w:p w14:paraId="264AB6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有下列行为之一的，对有关责任人员，给予警告、记过或者记大过处分；情节较重的，给予降级或者撤职处分；情节严重的，给予开除处分：</w:t>
      </w:r>
    </w:p>
    <w:p w14:paraId="18CCD6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（一）擅自提供、抄录、复制档案的；</w:t>
      </w:r>
    </w:p>
    <w:p w14:paraId="764E5F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（二）擅自公布未开放档案的。</w:t>
      </w:r>
    </w:p>
    <w:p w14:paraId="7AEF90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有下列行为之一，导致档案安全事故发生的，对有关责任人员，给予记过或者记大过处分；情节较重的，给予降级或者撤职处分；情节严重的，给予开除处分：</w:t>
      </w:r>
    </w:p>
    <w:p w14:paraId="7E405C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（一）未配备安全保管档案的必要设施、设备的；</w:t>
      </w:r>
    </w:p>
    <w:p w14:paraId="041065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（二）未建立档案安全管理规章制度的；</w:t>
      </w:r>
    </w:p>
    <w:p w14:paraId="022C022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（三）明知所保存的档案面临危险而不采取措施的。</w:t>
      </w:r>
    </w:p>
    <w:p w14:paraId="27DB05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有下列行为之一的，对有关责任人员，给予记过或者记大过处分；情节较重的，给予降级或者撤职处分；情节严重的，给予开除处分：</w:t>
      </w:r>
    </w:p>
    <w:p w14:paraId="2425AB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（一）档案安全事故发生后，不及时组织抢救的；</w:t>
      </w:r>
    </w:p>
    <w:p w14:paraId="5DB323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（二）档案安全事故发生后，隐瞒不报、虚假报告或者不及时报告的；</w:t>
      </w:r>
    </w:p>
    <w:p w14:paraId="470B33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（三）档案安全事故发生后，干扰阻挠有关部门调查的。</w:t>
      </w:r>
    </w:p>
    <w:p w14:paraId="25130A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在档案利用工作中违反国家规定收取费用的，对有关责任人员，给予记过或者记大过处分；情节较重的，给予降级或者撤职处分；情节严重的，给予开除处分。</w:t>
      </w:r>
    </w:p>
    <w:p w14:paraId="52B41F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违反国家规定扩大或者缩小档案接收范围的，对有关责任人员，给予警告或者记过处分；情节较重的，给予记大过或者降级处分；情节严重的，给予撤职处分。</w:t>
      </w:r>
    </w:p>
    <w:p w14:paraId="5C8938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拒不按照国家规定开放档案的，对有关责任人员，给予警告、记过或者记大过处分。</w:t>
      </w:r>
    </w:p>
    <w:p w14:paraId="4F63CC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因档案管理违法违纪行为受到处分的人员对处分决定不服的，依照《中华人民共和国行政监察法</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中华人民共和国公务员法</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行政机关公务员处分条例》等有关规定，可以申请复核或者申诉。</w:t>
      </w:r>
    </w:p>
    <w:p w14:paraId="61E531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任免机关、监察机关和档案行政管理部门建立案件移送制度。</w:t>
      </w:r>
    </w:p>
    <w:p w14:paraId="239487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任免机关、监察机关查处档案管理违法违纪案件，认为应当由档案行政管理部门给予行政处罚的，应当及时将有关案件材料移送档案行政管理部门。档案行政管理部门应当依法及时查处，并将处理结果书面告知任免机关、监察机关。</w:t>
      </w:r>
    </w:p>
    <w:p w14:paraId="0D8632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档案行政管理部门查处档案管理违法案件，认为应当由任免机关或者监察机关给予处分的，应当及时将有关案件材料移送任免机关或者监察机关。任免机关或者监察机关应当依法及时查处，并将处理结果书面告知档案行政管理部门。</w:t>
      </w:r>
    </w:p>
    <w:p w14:paraId="77B9CF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有档案管理违法违纪行为，应当给予党纪处分的，移送党的纪律检查机关处理。涉嫌犯罪的，移送司法机关依法追究刑事责任。</w:t>
      </w:r>
    </w:p>
    <w:p w14:paraId="567AF6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本规定所称的档案，是指属于国家所有的档案和不属于国家所有但保存在各级国家档案馆的档案。</w:t>
      </w:r>
    </w:p>
    <w:p w14:paraId="1ECAFF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本规定由监察部、人力资源社会保障部、国家档案局负责解释。</w:t>
      </w:r>
    </w:p>
    <w:p w14:paraId="520AC3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本规定自2013年3月1日起施行。</w:t>
      </w:r>
    </w:p>
    <w:p w14:paraId="116E05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shd w:val="clear" w:color="auto" w:fill="FFFFFF"/>
        </w:rPr>
      </w:pPr>
      <w:r>
        <w:rPr>
          <w:rStyle w:val="14"/>
          <w:rFonts w:hint="eastAsia" w:ascii="黑体" w:hAnsi="黑体" w:eastAsia="黑体" w:cs="黑体"/>
          <w:b/>
          <w:i w:val="0"/>
          <w:iCs w:val="0"/>
          <w:caps w:val="0"/>
          <w:color w:val="auto"/>
          <w:spacing w:val="0"/>
          <w:sz w:val="36"/>
          <w:szCs w:val="36"/>
          <w:shd w:val="clear" w:color="auto" w:fill="FFFFFF"/>
          <w:lang w:val="en-US" w:eastAsia="zh-CN"/>
        </w:rPr>
        <w:br w:type="page"/>
      </w:r>
      <w:bookmarkStart w:id="66" w:name="_Toc22810"/>
      <w:bookmarkStart w:id="67" w:name="_Toc29972"/>
      <w:r>
        <w:rPr>
          <w:rFonts w:hint="eastAsia" w:ascii="宋体" w:hAnsi="宋体" w:eastAsia="宋体" w:cs="宋体"/>
          <w:i w:val="0"/>
          <w:iCs w:val="0"/>
          <w:caps w:val="0"/>
          <w:color w:val="auto"/>
          <w:spacing w:val="0"/>
          <w:sz w:val="36"/>
          <w:szCs w:val="36"/>
          <w:shd w:val="clear" w:color="auto" w:fill="FFFFFF"/>
        </w:rPr>
        <w:t>教育统计管理规定</w:t>
      </w:r>
      <w:bookmarkEnd w:id="66"/>
      <w:bookmarkEnd w:id="67"/>
    </w:p>
    <w:p w14:paraId="1DC13C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仿宋" w:hAnsi="仿宋" w:eastAsia="仿宋" w:cs="仿宋"/>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第一章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总则</w:t>
      </w:r>
    </w:p>
    <w:p w14:paraId="56967F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了加强教育统计工作，保障统计资料的真实性、准确性、完整性和及时性，发挥统计在教育管理、科学决策和服务社会发展中的重要作用，根据《中华人民共和国统计法》《中华人民共和国教育法》《中华人民共和国统计法实施条例》等法律法规，制定本规定。</w:t>
      </w:r>
    </w:p>
    <w:p w14:paraId="223573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国务院教育行政部门依法部署并组织县级以上地方人民政府教育行政部门、各级各类学校和其他有关机构实施的教育统计活动，适用本规定。</w:t>
      </w:r>
    </w:p>
    <w:p w14:paraId="7CC114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教育统计的基本任务是对教育发展情况进行统计调查、统计分析，提供统计资料和统计咨询意见，实行统计监督。</w:t>
      </w:r>
    </w:p>
    <w:p w14:paraId="2754C6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国务院教育行政部门在国家统计局的业务指导下，依法领导、管理和组织协调教育领域的部门统计调查项目。</w:t>
      </w:r>
    </w:p>
    <w:p w14:paraId="402F82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县级以上地方人民政府教育行政部门应当加强对教育统计工作的组织领导，落实相关职责，为实施教育统计活动提供必要的保障。</w:t>
      </w:r>
    </w:p>
    <w:p w14:paraId="1C0713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教育行政部门应当根据需要，将教育统计工作所需经费列入本单位的年度预算，按时拨付到位，保障教育统计工作正常、有效开展。</w:t>
      </w:r>
    </w:p>
    <w:p w14:paraId="68B65A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对在教育统计工作中做出突出贡献、取得显著成绩的单位和个人，按照国家有关规定给予表彰和奖励。</w:t>
      </w:r>
    </w:p>
    <w:p w14:paraId="45FE51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行政部门应当加强教育统计科学研究，健全科学的教育统计指标体系，不断改进统计调查方法，提高教育统计的科学性；应当加强教育统计信息化建设，积极利用互联网、大数据、云计算等现代信息技术，推进教育统计信息搜集、处理、传输、共享、存储技术和统计数据库体系的现代化。</w:t>
      </w:r>
    </w:p>
    <w:p w14:paraId="0B4EBD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接受教育统计调查的教育行政部门、学校和其他有关机构以及个人等教育统计调查对象，应当遵守统计法律法规，真实、准确、完整、及时地提供统计调查资料。</w:t>
      </w:r>
    </w:p>
    <w:p w14:paraId="5E65DD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统计调查中获得的能够识别或者推断单个统计调查对象身份的资料应当依法严格管理，除作为统计执法依据外，不得直接作为对统计调查对象实施行政许可、行政处罚等具体行政行为的依据，不得用于完成统计任务以外的目的。</w:t>
      </w:r>
    </w:p>
    <w:p w14:paraId="74D30D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第二章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教育统计机构和人员</w:t>
      </w:r>
    </w:p>
    <w:p w14:paraId="2C4380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教育行政部门、各级各类学校和其他有关机构中负有教育统计职责的机构为教育统计机构，直接负责教育统计的专兼职工作人员为教育统计人员。</w:t>
      </w:r>
    </w:p>
    <w:p w14:paraId="540865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教育统计机构和统计人员依法独立行使统计调查、统计报告、统计监督的职权，不受侵犯。</w:t>
      </w:r>
    </w:p>
    <w:p w14:paraId="239797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国务院教育行政部门成立综合统计机构，统筹组织和协调管理全国教育统计工作，组织制定教育统计工作的规划、规章制度等，统一组织、管理和协调本部门各项统计调查活动。</w:t>
      </w:r>
    </w:p>
    <w:p w14:paraId="1CE455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国务院教育行政部门综合统计机构，具体负责实施以下工作：</w:t>
      </w:r>
    </w:p>
    <w:p w14:paraId="5A208C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（一）依法拟定教育统计调查项目，组织制定统计调查制度、计划和方案、标准并部署实施；</w:t>
      </w:r>
    </w:p>
    <w:p w14:paraId="511EB4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（二）组织协调各有关内设机构和直属事业单位的统计工作；</w:t>
      </w:r>
    </w:p>
    <w:p w14:paraId="27CAC5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（三）归口管理和公布教育统计资料，统一对外提供和发布数据，提供统计咨询，组织开展统计分析；</w:t>
      </w:r>
    </w:p>
    <w:p w14:paraId="3F6AAC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（四）对教育统计工作进行监督、检查，组织开展数据质量核查与评估工作；</w:t>
      </w:r>
    </w:p>
    <w:p w14:paraId="7D36BE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（五）加强教育统计队伍建设，组织教育统计人员的业务培训；</w:t>
      </w:r>
    </w:p>
    <w:p w14:paraId="566E13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（六）其他法定职责和工作事项。</w:t>
      </w:r>
    </w:p>
    <w:p w14:paraId="785670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省级人民政府教育行政部门应当明确主管统计工作的职能部门或者统计负责人，执行本单位的综合统计职能，主要包括：</w:t>
      </w:r>
    </w:p>
    <w:p w14:paraId="08C62A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（一）按照教育统计调查制度，制定本地区教育统计管理制度、统计调查方案并组织实施；</w:t>
      </w:r>
    </w:p>
    <w:p w14:paraId="6F0D9B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（二）对本地区教育发展情况进行统计分析，提供统计报告和统计咨询意见；</w:t>
      </w:r>
    </w:p>
    <w:p w14:paraId="0CBBB9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（三）组织实施和指导本地区教育统计人员的专业学习、技能培训和职业道德教育，配合有关部门进行统计人员专业技术职务评定；</w:t>
      </w:r>
    </w:p>
    <w:p w14:paraId="535CA5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（四）监督、检查本地区教育行政部门、各级各类学校和其他有关机构统计工作实施情况；</w:t>
      </w:r>
    </w:p>
    <w:p w14:paraId="00A3A0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（五）其他法定职责和工作事项。</w:t>
      </w:r>
    </w:p>
    <w:p w14:paraId="06DA5E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设区的市及县级人民政府教育行政部门、高等学校和其他有关机构应当在相关职能部门明确负责统计工作的机构或岗位，配备统计人员，明确统计负责人，依法实施统计调查、分析、资料管理和公布等职责范围内的统计工作。</w:t>
      </w:r>
    </w:p>
    <w:p w14:paraId="49A0B9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高等学校以外的各级各类学校根据统计任务的需要，设置统计工作岗位，配备专兼职统计人员，依法管理、开展统计工作，实施统计调查。</w:t>
      </w:r>
    </w:p>
    <w:p w14:paraId="718907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统计人员应当加强学习，具备与其从事的教育统计工作相适应的专业知识和业务能力；应当恪守职业道德，如实整理、报送统计资料，对其负责搜集、审核、录入的统计资料与统计调查对象报送的统计资料的一致性负责。</w:t>
      </w:r>
    </w:p>
    <w:p w14:paraId="1E0238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教育统计机构应当加强对教育统计人员的专业培训和职业道德教育，按照国家规定加强统计人员资质和信用建设，提高教育统计人员的专业素质，保障统计人员的稳定性。</w:t>
      </w:r>
    </w:p>
    <w:p w14:paraId="64754A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教育统计机构和统计人员不得伪造、篡改统计资料，不得以任何方式要求任何单位和个人提供不真实的统计资料。</w:t>
      </w:r>
    </w:p>
    <w:p w14:paraId="47DA2E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第三章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教育统计调查和分析</w:t>
      </w:r>
    </w:p>
    <w:p w14:paraId="5B8426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教育行政部门依照统计相关法律法规和规章规定，制定教育统计调查项目。调查对象属于教育行政部门管辖系统的，依法报国家统计局备案；调查对象超出教育行政部门管辖系统的，依法报国家统计局审批。</w:t>
      </w:r>
    </w:p>
    <w:p w14:paraId="0671DA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制定教育统计调查项目，应当就项目的必要性、可行性、科学性进行论证，征求有关地方、部门、统计调查对象和专家的意见，并按照会议制度集体讨论决定。</w:t>
      </w:r>
    </w:p>
    <w:p w14:paraId="1D3A82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教育统计调查项目和统计调查制度，应当根据教育改革发展的实践需要适时予以调整，并按规定重新申请审批或者备案。</w:t>
      </w:r>
    </w:p>
    <w:p w14:paraId="6B1816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国务院教育行政部门综合统计机构依法按照教育统计调查项目，制定教育统计调查制度，组织编制教育统计调查计划和统计调查方案。</w:t>
      </w:r>
    </w:p>
    <w:p w14:paraId="6A0019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县级以上地方人民政府教育行政部门增加或者减少补充性教育统计调查内容，应当依法报本级人民政府统计机构审批，并报上级教育行政部门备案。</w:t>
      </w:r>
    </w:p>
    <w:p w14:paraId="47AE4E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教育统计调查制度应当对调查目的、调查内容、调查方法、调查对象、调查组织方式、调查表式、统计资料的报送和公布等作出规定。</w:t>
      </w:r>
    </w:p>
    <w:p w14:paraId="027F35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统计调查表必须标明表号、制定机关、批准或者备案文号、有效期限等标志。对未标明标志或者超过有效期限的统计调查表，教育统计调查对象有权拒绝填报。</w:t>
      </w:r>
    </w:p>
    <w:p w14:paraId="4AC0DC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教育统计机构和统计人员应当执行国家统计标准和补充性的部门统计标准，统计调查指标涵义、计算方法、分类目录、调查表式和统计编码等不得与国家统计标准相抵触。</w:t>
      </w:r>
    </w:p>
    <w:p w14:paraId="55990C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搜集、整理教育统计资料，应当以周期性普查为基础，综合运用全面调查、重点调查、抽样调查等方法，并充分利用行政记录、电子注册信息等资料。</w:t>
      </w:r>
    </w:p>
    <w:p w14:paraId="67FDB1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统计机构应当根据统计资料，对本地区或者本单位的教育事业发展进行统计分析和监测，提供咨询意见和决策建议。建立教育统计数据解读、预测预警机制，加强数据分析，增强教育统计分析的时效性、针对性和实用性。</w:t>
      </w:r>
    </w:p>
    <w:p w14:paraId="16B9BD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教育统计机构和统计人员应当运用现代信息技术手段，深入挖掘数据资源，综合运用多种统计分析方法，提高统计分析和应用能力。</w:t>
      </w:r>
    </w:p>
    <w:p w14:paraId="6225C0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教育统计机构可委托专门机构承担教育统计任务，通过向社会购买服务组织实施统计调查和资料开发，可以引入第三方机构对教育统计工作进行评估。</w:t>
      </w:r>
    </w:p>
    <w:p w14:paraId="1F578A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第四章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教育统计资料的管理和公布</w:t>
      </w:r>
    </w:p>
    <w:p w14:paraId="1D12B8F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教育统计机构和统计人员应当按照教育统计调查制度，及时报送其组织实施统计调查取得的资料。</w:t>
      </w:r>
    </w:p>
    <w:p w14:paraId="544970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各级各类学校和其他有关机构等教育统计调查对象应当按照国家有关规定设置原始记录、统计台账，建立健全统计资料的审核、签署、交接、归档等管理制度。上报的统计资料必须由统计人员、审核人、本单位负责人签名，并加盖单位印章。</w:t>
      </w:r>
    </w:p>
    <w:p w14:paraId="0705B4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统计资料的审核、签署人对其审核、签署的统计资料的真实性、准确性和完整性负责。</w:t>
      </w:r>
    </w:p>
    <w:p w14:paraId="69633E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教育行政部门制定政策规划、督查工作进展、评价发展水平等，凡涉及统计数据的，应当优先使用教育统计资料，并以教育统计机构提供的统计资料为准。</w:t>
      </w:r>
    </w:p>
    <w:p w14:paraId="707CBC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教育统计资料实行分级管理。</w:t>
      </w:r>
    </w:p>
    <w:p w14:paraId="75A3FC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教育行政部门应当按照国家有关规定建立健全教育统计资料的保存、管理制度和教育统计信息共享机制。</w:t>
      </w:r>
    </w:p>
    <w:p w14:paraId="03D4BC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教育统计调查取得的统计资料，除依法应当保密的外，应当及时公开，便于查询利用。</w:t>
      </w:r>
    </w:p>
    <w:p w14:paraId="299152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国务院教育行政部门通过门户网站、统计公报、统计年鉴、统计信息平台等途径按照国家有关规定公布统计资料；依法公开数据生产的过程和结果，提升数据共享和公开水平。</w:t>
      </w:r>
    </w:p>
    <w:p w14:paraId="02A83B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地方各级人民政府教育行政部门应当按照国家有关规定公布教育统计资料，供社会公众查询。</w:t>
      </w:r>
    </w:p>
    <w:p w14:paraId="7F1CA1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教育统计机构和统计人员应当按照国家保密规定，建立健全教育统计保密制度，完善教育统计内控机制，做好有关统计资料的保密工作。</w:t>
      </w:r>
    </w:p>
    <w:p w14:paraId="60BA98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教育统计调查中获得的能够识别或者推断单个统计调查对象身份的资料，任何单位和个人不得对外提供、泄露。</w:t>
      </w:r>
    </w:p>
    <w:p w14:paraId="22AA7A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第三十二条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行政部门、各级各类学校和其他有关机构及其负责人不得自行修改教育统计机构和统计人员依法搜集、整理的教育统计资料，不得以任何方式要求统计人员伪造、篡改教育统计资料，不得对依法履行职责或者拒绝、抵制统计违法行为的统计人员打击报复。</w:t>
      </w:r>
    </w:p>
    <w:p w14:paraId="7066A4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第五章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教育统计监管</w:t>
      </w:r>
    </w:p>
    <w:p w14:paraId="52AFC8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教育统计应当接受社会公众的监督。教育统计资料应当真实、准确，任何单位和个人不得利用虚假教育统计资料骗取荣誉称号、物质利益或者职务晋升。</w:t>
      </w:r>
    </w:p>
    <w:p w14:paraId="52566B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上级教育行政部门应当定期对下级教育行政部门及其所辖学校、其他有关机构进行统计工作检查。统计工作检查的内容主要包括：</w:t>
      </w:r>
    </w:p>
    <w:p w14:paraId="4F8C80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（一）统计</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、规章和有关文件的贯彻落实情况；</w:t>
      </w:r>
    </w:p>
    <w:p w14:paraId="329819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（二）统计规章制度的建设及其组织实施情况；</w:t>
      </w:r>
    </w:p>
    <w:p w14:paraId="65D492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（三）单位内负责统计工作的机构和岗位的设置情况；</w:t>
      </w:r>
    </w:p>
    <w:p w14:paraId="650E19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（四）统计经费和统计工作设备配置的保障情况；</w:t>
      </w:r>
    </w:p>
    <w:p w14:paraId="337649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（五）统计资料的管理情况；</w:t>
      </w:r>
    </w:p>
    <w:p w14:paraId="2405ED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（六）其他需要检查的内容。</w:t>
      </w:r>
    </w:p>
    <w:p w14:paraId="48C6A7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国务院教育行政部门依法建立教育统计数据质量监控和评估制度，建立健全责任体系，对各省、自治区、直辖市重要教育统计数据进行监控和评估。</w:t>
      </w:r>
    </w:p>
    <w:p w14:paraId="2E10EF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省级人民政府教育行政部门应当健全统计数据质量保障体系，建立专家参与的统计数据质量核查机制，通过自查、抽查、互查等方式，开展统计数据质量核查，保证统计数据质量。</w:t>
      </w:r>
    </w:p>
    <w:p w14:paraId="744DD6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县级以上教育行政部门可以建立教育统计数据抽查制度，制定抽查事项清单，合理确定抽查的比例和频次，随机对下级教育行政部门或其所辖学校、其他有关机构报送的教育统计数据进行核查。</w:t>
      </w:r>
    </w:p>
    <w:p w14:paraId="447E95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行政部门、各级各类学校和其他有关机构的相关工作人员在教育统计工作中有统计违法行为的，移交县级以上人民政府统计机构依法查处；有违纪行为的，由上级教育行政部门依据有关规定，根据违法违纪行为的情节轻重，向有关责任人员的任免机关、纪检监察机关、组织（人事）部门提出处分处理建议。</w:t>
      </w:r>
    </w:p>
    <w:p w14:paraId="45DABD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教育行政部门、各级各类学校和其他有关机构的领导人员有下列行为之一的，按照有关规定，给予记过或者记大过处分；情节较重的，给予降级或者撤职处分；情节严重的，给予开除处分：</w:t>
      </w:r>
    </w:p>
    <w:p w14:paraId="240AEF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（一）自行修改教育统计资料、编造虚假数据的；</w:t>
      </w:r>
    </w:p>
    <w:p w14:paraId="6A7885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（二）强令、授意本部门、本单位统计机构、统计人员或者其他有关机构、人员拒报、虚报、瞒报或者篡改教育统计资料、编造虚假数据的；</w:t>
      </w:r>
    </w:p>
    <w:p w14:paraId="471B99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（三）对拒绝、抵制篡改教育统计资料或者对拒绝、抵制编造虚假数据的人员进行打击报复的；</w:t>
      </w:r>
    </w:p>
    <w:p w14:paraId="46B0EF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（四）对揭发、检举统计违法违纪行为的人员进行打击报复的。</w:t>
      </w:r>
    </w:p>
    <w:p w14:paraId="3D08AF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有前款第（三）项、第（四）项规定行为的，应当从重处分。</w:t>
      </w:r>
    </w:p>
    <w:p w14:paraId="7FB46B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教育统计机构及相关人员有下列行为之一的，应当按照《中华人民共和国统计法》等法律法规和相关规定，追究相应的法律或者行政等责任，并记入相关单位、相关责任人的诚信档案：</w:t>
      </w:r>
    </w:p>
    <w:p w14:paraId="14CFA6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（一）未经批准擅自组织实施统计调查的；</w:t>
      </w:r>
    </w:p>
    <w:p w14:paraId="4EA12C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（二）自行修改、篡改、伪造、编造统计资料的；</w:t>
      </w:r>
    </w:p>
    <w:p w14:paraId="0C0DB8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（三）不按时提供、拒绝提供或提供不真实、不完整的统计资料或者要求统计调查对象提供不真实统计资料的；</w:t>
      </w:r>
    </w:p>
    <w:p w14:paraId="53C245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（四）违法公布统计资料的；</w:t>
      </w:r>
    </w:p>
    <w:p w14:paraId="287324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（五）泄漏统计资料导致单个统计调查对象身份被识别的；</w:t>
      </w:r>
    </w:p>
    <w:p w14:paraId="12702C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（六）违反规定导致统计资料毁损、灭失的；</w:t>
      </w:r>
    </w:p>
    <w:p w14:paraId="480283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（七）其他统计违法行为。</w:t>
      </w:r>
    </w:p>
    <w:p w14:paraId="2B40E1C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第三十九条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违反统计法及其他相关规定，利用虚假统计资料骗取荣誉称号、物质利益或者职务晋升的，除对其编造虚假统计资料或者要求他人编造虚假统计资料的行为依法追究法律责任外，由作出有关决定的单位或者其上级单位、监察机关取消其荣誉称号，追缴获得的物质利益，撤销晋升的职务。</w:t>
      </w:r>
    </w:p>
    <w:p w14:paraId="7FF156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第六章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附则</w:t>
      </w:r>
    </w:p>
    <w:p w14:paraId="4A96AD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第四十条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省级人民政府教育行政部门可以根据本规定制定相应的实施细则，并报国务院教育行政部门备案。</w:t>
      </w:r>
    </w:p>
    <w:p w14:paraId="7B8821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第四十一条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本规定自2018年8月1日起施行。1986年国家教委发布的《教育统计工作暂行规定》（〔86〕教计字034号）同时废止。</w:t>
      </w:r>
    </w:p>
    <w:p w14:paraId="7CD615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outlineLvl w:val="1"/>
        <w:rPr>
          <w:i w:val="0"/>
          <w:iCs w:val="0"/>
          <w:caps w:val="0"/>
          <w:color w:val="auto"/>
          <w:spacing w:val="0"/>
          <w:sz w:val="36"/>
          <w:szCs w:val="36"/>
          <w:shd w:val="clear" w:color="auto" w:fill="FFFFFF"/>
        </w:rPr>
      </w:pPr>
      <w:r>
        <w:rPr>
          <w:rFonts w:hint="eastAsia" w:ascii="宋体" w:hAnsi="宋体" w:eastAsia="宋体" w:cs="宋体"/>
          <w:b/>
          <w:color w:val="auto"/>
          <w:sz w:val="36"/>
          <w:szCs w:val="36"/>
        </w:rPr>
        <w:br w:type="page"/>
      </w:r>
      <w:bookmarkStart w:id="68" w:name="_Toc8602"/>
      <w:bookmarkStart w:id="69" w:name="_Toc6199"/>
      <w:r>
        <w:rPr>
          <w:i w:val="0"/>
          <w:iCs w:val="0"/>
          <w:caps w:val="0"/>
          <w:color w:val="auto"/>
          <w:spacing w:val="0"/>
          <w:sz w:val="36"/>
          <w:szCs w:val="36"/>
          <w:shd w:val="clear" w:color="auto" w:fill="FFFFFF"/>
        </w:rPr>
        <w:t>统计执法监督检查办法</w:t>
      </w:r>
      <w:bookmarkEnd w:id="68"/>
      <w:bookmarkEnd w:id="69"/>
    </w:p>
    <w:p w14:paraId="320285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firstLine="480" w:firstLineChars="200"/>
        <w:jc w:val="both"/>
        <w:textAlignment w:val="auto"/>
        <w:outlineLvl w:val="9"/>
        <w:rPr>
          <w:rFonts w:hint="eastAsia" w:ascii="仿宋" w:hAnsi="仿宋" w:eastAsia="仿宋" w:cs="仿宋"/>
          <w:b w:val="0"/>
          <w:bCs w:val="0"/>
          <w:i w:val="0"/>
          <w:iCs w:val="0"/>
          <w:caps w:val="0"/>
          <w:color w:val="auto"/>
          <w:spacing w:val="0"/>
          <w:sz w:val="24"/>
          <w:szCs w:val="24"/>
          <w:shd w:val="clear" w:color="auto" w:fill="FFFFFF"/>
        </w:rPr>
      </w:pPr>
      <w:r>
        <w:rPr>
          <w:rFonts w:hint="eastAsia" w:ascii="仿宋" w:hAnsi="仿宋" w:eastAsia="仿宋" w:cs="仿宋"/>
          <w:b w:val="0"/>
          <w:bCs w:val="0"/>
          <w:i w:val="0"/>
          <w:iCs w:val="0"/>
          <w:caps w:val="0"/>
          <w:color w:val="auto"/>
          <w:spacing w:val="0"/>
          <w:sz w:val="24"/>
          <w:szCs w:val="24"/>
          <w:shd w:val="clear" w:color="auto" w:fill="FFFFFF"/>
        </w:rPr>
        <w:t>（2017年7月5日中华人民共和国国家统计局令第21号公布根据2018年11月20日《国家统计局关于修改〈统计执法监督检查办法〉的决定》修订根据2019年11月14日《国家统计局关于修改〈统计执法监督检查办法〉的决定》修订）</w:t>
      </w:r>
    </w:p>
    <w:p w14:paraId="14D7A5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第一章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总则</w:t>
      </w:r>
    </w:p>
    <w:p w14:paraId="2F9A5C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了规范统计执法监督检查工作，保护公民、法人和其他组织的合法权益，保障和提高统计数据质量，根据《中华人民共和国统计法》《中华人民共和国行政处罚法》和《中华人民共和国统计法实施条例》等法律、行政法规，制定本办法。</w:t>
      </w:r>
    </w:p>
    <w:p w14:paraId="35FD95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本办法适用于县级以上人民政府统计机构对执行统计法律法规规章情况的监督检查和对统计违法行为的查处。</w:t>
      </w:r>
    </w:p>
    <w:p w14:paraId="574379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统计局统计执法监督局在国家统计局领导下，具体负责对全国统计执法监督检查工作的组织管理，指导监督地方统计机构和国家调查队统计执法监督检查机构工作，检查各地方、各部门统计法执行情况，查处重大统计违法行为。</w:t>
      </w:r>
    </w:p>
    <w:p w14:paraId="248C79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省级及市级统计执法监督检查机构在所属统计局或者国家调查队领导下，具体负责指导监督本地区、本系统统计执法监督检查工作，对本地区、本系统统计法执行情况的检查和查处统计违法行为。县级统计执法监督检查机构或者执法检查人员在所属统计局或者国家调查队领导下，依据法定分工负责本地区、本系统统计执法监督检查工作。</w:t>
      </w:r>
    </w:p>
    <w:p w14:paraId="4163AF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地方统计机构和国家调查队应当建立统计执法监督检查沟通协作机制。</w:t>
      </w:r>
    </w:p>
    <w:p w14:paraId="77048A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县级以上人民政府有关部门在同级人民政府统计机构的组织指导下，负责监督本部门统计调查中执行统计法情况，对本部门统计调查中发生的统计违法行为，移交同级人民政府统计机构予以处理。</w:t>
      </w:r>
    </w:p>
    <w:p w14:paraId="08A5CB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各级人民政府统计机构应当建立行政执法监督检查责任制和问责制，切实保障统计执法监督检查所需的人员、经费和其他工作条件。</w:t>
      </w:r>
    </w:p>
    <w:p w14:paraId="7467D0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统计执法监督检查应当贯彻有法必依、执法必严、违法必究的方针，坚持预防、查处和整改相结合，坚持教育与处罚相结合，坚持实事求是、客观公正、统一规范、文明执法、高效廉洁原则。</w:t>
      </w:r>
    </w:p>
    <w:p w14:paraId="468B45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统计执法监督检查中，与执法监督检查对象有利害关系以及其他可能影响公正性的人员，应当回避。</w:t>
      </w:r>
    </w:p>
    <w:p w14:paraId="22C15B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县级以上人民政府统计机构应当畅通统计违法举报渠道，公布统计违法举报电话、通信地址、网络专栏、电子邮箱等，认真受理、核实、办理统计违法举报。</w:t>
      </w:r>
    </w:p>
    <w:p w14:paraId="780EAF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县级以上人民政府统计机构应当建立统计违法行为查处情况报告制度，定期向上一级统计机构报告统计违法举报、统计执法监督检查和统计违法行为查处情况。</w:t>
      </w:r>
    </w:p>
    <w:p w14:paraId="4B1189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第二章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统计执法监督检查机构和执法检查人员</w:t>
      </w:r>
    </w:p>
    <w:p w14:paraId="2CC9FD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县级以上人民政府统计机构健全统计执法监督检查队伍，完善统计执法监督检查机制，建立统计执法骨干人才库，确保在库人员服从设库机构的调用。</w:t>
      </w:r>
    </w:p>
    <w:p w14:paraId="2A799A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统计执法监督检查机构和执法检查人员的主要职责是：</w:t>
      </w:r>
    </w:p>
    <w:p w14:paraId="14D1F8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（一）起草制定统计法律法规规章和规范性文件；</w:t>
      </w:r>
    </w:p>
    <w:p w14:paraId="2BDE4B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（二）宣传、贯彻统计法律法规规章；</w:t>
      </w:r>
    </w:p>
    <w:p w14:paraId="359778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（三）组织、指导、监督、管理统计执法监督检查工作；</w:t>
      </w:r>
    </w:p>
    <w:p w14:paraId="755902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（四）依法查处统计违法行为，防范和惩治统计造假、弄虚作假；</w:t>
      </w:r>
    </w:p>
    <w:p w14:paraId="0AACB7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（五）组织实施统计执法“双随机”抽查，受理、办理、督办统计违法举报；</w:t>
      </w:r>
    </w:p>
    <w:p w14:paraId="036D1A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（六）建立完善统计信用制度，建立实施对统计造假、弄虚作假的联合惩戒机制；</w:t>
      </w:r>
    </w:p>
    <w:p w14:paraId="0AF456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（七）监督查处涉外统计调查活动和民间统计调查活动中的违法行为；</w:t>
      </w:r>
    </w:p>
    <w:p w14:paraId="2BCD44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和规章规定的其他职责。</w:t>
      </w:r>
    </w:p>
    <w:p w14:paraId="296160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执法检查人员应当参加培训，经考试合格，取得由国家统计局统一颁发的统计执法证。</w:t>
      </w:r>
    </w:p>
    <w:p w14:paraId="137D6F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经县级以上人民政府统计机构批准，可以聘用专业技术人员参与统计执法监督检查。</w:t>
      </w:r>
    </w:p>
    <w:p w14:paraId="56360F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统计执法监督检查机构应当加强对所属执法检查人员的法律法规、统计业务知识、职业道德教育和执法监督检查技能培训，健全管理、考核和奖惩制度。</w:t>
      </w:r>
    </w:p>
    <w:p w14:paraId="0A8942F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第三章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统计执法监督检查</w:t>
      </w:r>
    </w:p>
    <w:p w14:paraId="6319CDC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和有关部门应当建立统计执法监督检查工作机制和相关制度，综合运用“双随机”抽查、专项检查、重点检查、实地核查等方式，组织开展本地区、本部门、本单位统计执法监督检查工作。</w:t>
      </w:r>
    </w:p>
    <w:p w14:paraId="535114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按照国家有关规定，实施统计执法监督检查全过程记录制度。</w:t>
      </w:r>
    </w:p>
    <w:p w14:paraId="15A022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统计执法监督检查事项包括：</w:t>
      </w:r>
    </w:p>
    <w:p w14:paraId="01B339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（一）地方各级人民政府、政府统计机构和有关部门以及各单位及其负责人遵守、执行统计法律法规规章和国家统计规则、政令情况；</w:t>
      </w:r>
    </w:p>
    <w:p w14:paraId="2062ED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（二）地方各级人民政府、政府统计机构和有关部门建立防范和惩治统计造假、弄虚作假责任制和问责制情况；</w:t>
      </w:r>
    </w:p>
    <w:p w14:paraId="368F03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（三）统计机构和统计人员依法独立行使统计调查、统计报告、统计监督职权情况；</w:t>
      </w:r>
    </w:p>
    <w:p w14:paraId="6AD32D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（四）国家机关、企业事业单位和其他组织以及个体工商户和个人等统计调查对象遵守统计法律法规规章、统计调查制度情况；</w:t>
      </w:r>
    </w:p>
    <w:p w14:paraId="5438ED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（五）依法开展涉外统计调查和民间统计调查情况；</w:t>
      </w:r>
    </w:p>
    <w:p w14:paraId="356E4A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（六）法律法规规章规定的其他事项。</w:t>
      </w:r>
    </w:p>
    <w:p w14:paraId="4461908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第十五条　县级以上人民政府统计机构对接到的举报应当严格按照规定予以受理，经审核可能存在统计违法行为的，应当采取立案查处、执法检查办理，市级以上人民政府统计机构也可以按照规定将举报转交下级统计机构办理。</w:t>
      </w:r>
    </w:p>
    <w:p w14:paraId="78B9C0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县级以上人民政府统计机构在组织实施统计执法监督检查前应当拟定检查方案，明确检查的依据、时间、范围、内容和组织形式等。</w:t>
      </w:r>
    </w:p>
    <w:p w14:paraId="410834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统计执法监督检查机构或者执法检查人员组织实施执法监督检查前，应报所属人民政府统计机构负责人批准。</w:t>
      </w:r>
    </w:p>
    <w:p w14:paraId="42B94D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执法监督检查机构进行执法监督检查时，执法检查人员不得少于2名，并应当出示国家统计局统一颁发的统计执法证，告知检查对象和有关单位实施检查的人民政府统计机构名称，检查的依据、范围、内容和方式，以及相应的权利、义务和法律责任。未出示统计执法证的，有关单位和个人有权拒绝接受检查。</w:t>
      </w:r>
    </w:p>
    <w:p w14:paraId="350C00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县级以上人民政府统计机构调查统计违法行为或者核查统计数据时，依据《统计法》第三十五条的规定，行使统计执法监督检查职权。</w:t>
      </w:r>
    </w:p>
    <w:p w14:paraId="4B967E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检查对象和有关单位应当按照统计法律法规规定，积极配合执法监督检查工作，为检查工作提供必要的条件保障。有关人员应当如实回答询问、反映情况，提供相关证明和资料，核实笔录，并在有关证明、资料和笔录上签字，涉及单位的加盖公章。拒绝签字或者盖章的，由执法检查人员现场记录原因并录音录像。</w:t>
      </w:r>
    </w:p>
    <w:p w14:paraId="06FD99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有关地方、部门、单位应当及时通知相关人员按照要求接受检查。</w:t>
      </w:r>
    </w:p>
    <w:p w14:paraId="531648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统计执法监督检查机构在执法监督检查过程中，应当及时按规定制作执法文书，如实记录执法检查人员询问情况和检查对象反映的情况以及提供的证明和资料，由执法检查人员在有关笔录上签名。</w:t>
      </w:r>
    </w:p>
    <w:p w14:paraId="62C8F0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县级以上人民政府统计机构和执法检查人员对在执法监督检查过程中知悉的国家秘密、商业秘密、个人信息资料和能够识别或者推断单个调查对象身份的资料，负有保密义务。</w:t>
      </w:r>
    </w:p>
    <w:p w14:paraId="730A82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统计执法监督检查机构应当在调查结束后，及时向所属人民政府统计机构提交监督检查报告，报告检查中发现的问题并提出处理建议。处理建议包括：</w:t>
      </w:r>
    </w:p>
    <w:p w14:paraId="00C540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（一）发现有统计违法行为，符合立案查处条件的，予以立案查处；</w:t>
      </w:r>
    </w:p>
    <w:p w14:paraId="6AD13B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（二）发现统计违法事实不清、证据不足或者程序错误的，应当及时补充或者重新调查；</w:t>
      </w:r>
    </w:p>
    <w:p w14:paraId="643E1A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（三）按照违法行为性质、情节，提请上一级或者移交下级人民政府统计机构立案查处；</w:t>
      </w:r>
    </w:p>
    <w:p w14:paraId="583DC3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（四）未发现统计违法行为或者统计违法事实轻微，依法不应追究法律责任的，不予处理。</w:t>
      </w:r>
    </w:p>
    <w:p w14:paraId="19AE3B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第四章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统计违法行为的处罚</w:t>
      </w:r>
    </w:p>
    <w:p w14:paraId="62690A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查处统计违法案件应当做到事实清楚，证据确凿，定性准确，处理恰当，适用法律正确，符合法定程序。</w:t>
      </w:r>
    </w:p>
    <w:p w14:paraId="5F2700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国家统计局负责查处情节严重或影响恶劣的统计造假、弄虚作假案件，对国家重大统计部署贯彻不力的案件，重大国情国力调查中发生的严重统计造假、弄虚作假案件，其他重大统计违法案件。</w:t>
      </w:r>
    </w:p>
    <w:p w14:paraId="75E81E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省级统计局依法负责查处本行政区域内统计造假、弄虚作假案件，违反国家统计调查制度以及重要的地方统计调查制度的案件。但是国家调查总队组织实施的统计调查中发生的统计造假、弄虚作假案件，违反国家统计调查制度案件，由组织实施统计调查的国家调查总队进行查处。</w:t>
      </w:r>
    </w:p>
    <w:p w14:paraId="7E426C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市级、县级统计局和国家统计局市级、县级调查队，发现本行政区域内统计造假、弄虚作假违法行为的，应当及时报告省级统计机构依法查处；依法负责查处本行政区域内其他统计违法案件。</w:t>
      </w:r>
    </w:p>
    <w:p w14:paraId="2CC606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第二十六条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统计执法监督检查机构具体负责查处统计违法行为，统计执法队接受所属统计机构委托开展有关执法检查工作。</w:t>
      </w:r>
    </w:p>
    <w:p w14:paraId="536FB8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对下列统计违法行为，县级以上人民政府统计机构应当依法立案：</w:t>
      </w:r>
    </w:p>
    <w:p w14:paraId="572DE1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（一）各地方、各部门、各单位及其负责人违反统计法律法规规章的；</w:t>
      </w:r>
    </w:p>
    <w:p w14:paraId="56C56A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（二）县级以上人民政府统计机构及其工作人员违反统计法律法规规章的；</w:t>
      </w:r>
    </w:p>
    <w:p w14:paraId="175D23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（三）国家机关、企业事业单位和其他组织以及个体工商户等调查对象违反统计法律法规规章的；</w:t>
      </w:r>
    </w:p>
    <w:p w14:paraId="2A2190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（四）违反国家统计规则、政令的；</w:t>
      </w:r>
    </w:p>
    <w:p w14:paraId="1310A9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（五）违反涉外统计调查和民间统计调查有关法律法规规章的；</w:t>
      </w:r>
    </w:p>
    <w:p w14:paraId="43F682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（六）其他按照法律法规规章规定应当立案的。</w:t>
      </w:r>
    </w:p>
    <w:p w14:paraId="24E5F2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立案查处的统计违法行为，应当同时具备下列条件：</w:t>
      </w:r>
    </w:p>
    <w:p w14:paraId="48C3DB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（一）有明确的行为人；</w:t>
      </w:r>
    </w:p>
    <w:p w14:paraId="27C510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（二）有违反本办法第二十七条所列行为，依法应当追究法律责任；</w:t>
      </w:r>
    </w:p>
    <w:p w14:paraId="6F21CD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（三）属于人民政府统计机构职责权限和管辖范围。</w:t>
      </w:r>
    </w:p>
    <w:p w14:paraId="32E629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统计执法监督检查机构或者执法检查人员按照前款规定的条件，对拟立案的有关材料进行初步审查并提出初步处理意见，报送所属人民政府统计机构负责人批准后，予以立案查处。</w:t>
      </w:r>
    </w:p>
    <w:p w14:paraId="6B52E6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立案查处的案件，一般案件执法检查人员不得少于2人，重大案件应当按规定组成执法检查组。</w:t>
      </w:r>
    </w:p>
    <w:p w14:paraId="6CC843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执法检查人员应当合法、客观、全面地收集证据。收集证据过程中，执法检查人员应当及时制作《现场检查笔录》《调查笔录》等文书，并整理制作《证据登记表》。</w:t>
      </w:r>
    </w:p>
    <w:p w14:paraId="1B3EDC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案件证据应当与本案件有关联，包括书证、物证、电子数据、视听资料、证人证言、当事人陈述、鉴定结论和勘验笔录等以及其他可证明违法事实的材料。</w:t>
      </w:r>
    </w:p>
    <w:p w14:paraId="767243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调查结束后，执法检查组或者执法检查人员应当及时形成监督检查报告，报送所属人民政府统计机构负责人。</w:t>
      </w:r>
    </w:p>
    <w:p w14:paraId="536897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监督检查报告内容包括：立案依据、检查情况、违法事实、法律依据、违法性质、法律责任、酌定情形、处理意见等。</w:t>
      </w:r>
    </w:p>
    <w:p w14:paraId="66E7DA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统计执法监督检查机构应当及时组织召开会议，对案件进行讨论审理，确定统计违法行为性质和处理决定，报统计机构负责人审查。对情节复杂或者重大违法行为给予较重的行政处罚，应当集体讨论决定。</w:t>
      </w:r>
    </w:p>
    <w:p w14:paraId="04C701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在审理过程中发现统计违法事实不清、证据不足或者程序错误的，应当责成执法检查组或者执法检查人员及时补充或者重新调查。</w:t>
      </w:r>
    </w:p>
    <w:p w14:paraId="7059D89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统计违法案件审理终结，应当分别以下情况作出处理：</w:t>
      </w:r>
    </w:p>
    <w:p w14:paraId="0D0D5AF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（一）违反统计法律法规规章证据不足，或者统计违法事实情节轻微，依法不应追究法律责任的，即行销案；</w:t>
      </w:r>
    </w:p>
    <w:p w14:paraId="6D4F97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（二）违反统计法律法规规章事实清楚、证据确凿的，依法作出处理；</w:t>
      </w:r>
    </w:p>
    <w:p w14:paraId="3123AE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（三）违反统计法律法规规章和国家统计规则、政令，应当给予处分的，移送任免机关或者纪检监察机关处理；</w:t>
      </w:r>
    </w:p>
    <w:p w14:paraId="7A5190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（四）违反统计法律法规规章和国家统计规则、政令，被认定为统计严重失信的，按照国家有关规定进行公示和惩戒；</w:t>
      </w:r>
    </w:p>
    <w:p w14:paraId="1D068B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（五）涉嫌违反其他法律法规规定的，移交有关行政机关处理；</w:t>
      </w:r>
    </w:p>
    <w:p w14:paraId="2EC71D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（六）涉嫌犯罪的，移送司法机关、监察机关处理。</w:t>
      </w:r>
    </w:p>
    <w:p w14:paraId="70D88D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违法事实清楚、证据确凿，依法决定予以行政处罚的，应当在作出行政处罚决定前，制作《统计行政处罚决定告知书》，向处罚对象告知给予行政处罚的事实、理由、依据和处罚对象依法享有的权利。处罚对象对处罚决定进行陈述、申辩，提出不同意见时，统计执法监督检查机构应当认真听取。处罚对象提出新的事实、理由和证据，统计执法监督检查机构应当进行复核，复核成立的，予以采纳。</w:t>
      </w:r>
    </w:p>
    <w:p w14:paraId="7A22EB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作出对法人或者其他组织5万元以上罚款，对个体工商户作出2000元以上罚款的行政处罚决定前，应当告知处罚对象有要求举行听证的权利。处罚对象要求听证的，作出处罚决定的统计机构应当依法组织听证。</w:t>
      </w:r>
    </w:p>
    <w:p w14:paraId="7A9CA0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处罚对象应当在收到《统计行政处罚决定告知书》3日内向作出处罚决定的统计机构提出听证要求，作出处罚决定的统计机构应当在听证的7日前通知处罚对象举行听证的时间和地点。</w:t>
      </w:r>
    </w:p>
    <w:p w14:paraId="33C3B2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听证由统计机构指定的非本案执法检查人员主持，处罚对象认为主持人与本案有直接利害关系的，有权申请回避。举行听证时，执法检查人员提出处罚对象违法的事实、证据和处罚建议，处罚对象进行申辩和质证。听证应当制作笔录，笔录应当交处罚对象审核无误后签字或者盖章。</w:t>
      </w:r>
    </w:p>
    <w:p w14:paraId="096B9E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听证结束后，统计机构依照本办法第三十四条作出处罚决定。</w:t>
      </w:r>
    </w:p>
    <w:p w14:paraId="6ECC1E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统计违法行为应当给予行政处罚的，依法作出处罚决定，制作《统计行政处罚决定书》。《统计行政处罚决定书》应当载明下列事项：</w:t>
      </w:r>
    </w:p>
    <w:p w14:paraId="4BA25E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（一）处罚对象的名称或者姓名、地址；</w:t>
      </w:r>
    </w:p>
    <w:p w14:paraId="47551E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（二）违反统计法律法规规章的事实和证据；</w:t>
      </w:r>
    </w:p>
    <w:p w14:paraId="4866A6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（三）统计行政处罚的种类和依据；</w:t>
      </w:r>
    </w:p>
    <w:p w14:paraId="2275D9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（四）统计行政处罚的履行方式和期限；</w:t>
      </w:r>
    </w:p>
    <w:p w14:paraId="4B1FB7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（五）不服统计行政处罚决定，申请行政复议或者提起行政诉讼的途径和期限；</w:t>
      </w:r>
    </w:p>
    <w:p w14:paraId="5EDC08E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（六）作出统计行政处罚决定的统计机构名称和作出决定的日期。</w:t>
      </w:r>
    </w:p>
    <w:p w14:paraId="2F0866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统计行政处罚决定书必须盖有作出统计行政处罚决定的统计机构的印章。</w:t>
      </w:r>
    </w:p>
    <w:p w14:paraId="578E1DC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应当在《统计行政处罚决定书》作出后7日内送达处罚对象。处罚对象应当在送达回执上签字盖章，并注明签收日期。处罚对象拒绝接收的，应当在其他人员见证下，由送达人员、见证人员在送达回执上签字并注明理由，将《统计行政处罚决定书》留置；处罚对象不能接收的，应当在其他人员见证下，由送达人员、见证人员在送达回执上签字并注明理由。</w:t>
      </w:r>
    </w:p>
    <w:p w14:paraId="78A6C1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邮寄送达的，应当通过中国邮政挂号寄送。</w:t>
      </w:r>
    </w:p>
    <w:p w14:paraId="1B6BA6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统计行政处罚决定作出后，处罚对象应当在统计行政处罚决定的期限内予以履行。处罚对象对统计行政处罚决定不服，申请行政复议或者提起行政诉讼的，统计行政处罚不停止执行。</w:t>
      </w:r>
    </w:p>
    <w:p w14:paraId="599BDD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统计执法监督检查机构应当及时掌握统计行政处罚的执行情况。</w:t>
      </w:r>
    </w:p>
    <w:p w14:paraId="275BF4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第三十九条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立案查处的统计违法行为，应当在立案后3个月内处理完毕；因特殊情况需要延长办理期限的，应当按规定报经批准，但延长期限不得超过3个月。</w:t>
      </w:r>
    </w:p>
    <w:p w14:paraId="19BB6A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统计违法事实清楚并有法定依据，对法人或者其他组织予以警告或者警告并处1000元以下罚款行政处罚的，可以适用简易处罚程序，当场作出统计行政处罚决定。</w:t>
      </w:r>
    </w:p>
    <w:p w14:paraId="6AD30F1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统计违法行为处理决定执行后，应当及时结案。</w:t>
      </w:r>
    </w:p>
    <w:p w14:paraId="4F21CE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结案应当撰写结案报告，报送所属人民政府统计机构负责人同意，予以结案。</w:t>
      </w:r>
    </w:p>
    <w:p w14:paraId="334F80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在查处统计违法案件时，认为对有关国家工作人员应当给予处分处理的，应当按照有关规定提出处分处理建议，并将案件材料和处分处理建议移送具有管辖权的任免机关或者纪检机关、监察机关、组织（人事）部门。</w:t>
      </w:r>
    </w:p>
    <w:p w14:paraId="245659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立案查处和执法检查的典型、严重统计违法案件，应当按照有关规定予以曝光。</w:t>
      </w:r>
    </w:p>
    <w:p w14:paraId="48A82E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对具有严重统计造假弄虚作假情形的，应当依法认定为统计上严重失信，按照有关规定予以公示和惩戒。</w:t>
      </w:r>
    </w:p>
    <w:p w14:paraId="36B5CF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第五章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法律责任</w:t>
      </w:r>
    </w:p>
    <w:p w14:paraId="1B2A6A7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县级以上人民政府统计机构负责人、执法检查人员及其相关人员在统计执法监督检查中有下列行为之一的，由统计机构予以通报，由任免机关或者纪检监察机关给予处分：</w:t>
      </w:r>
    </w:p>
    <w:p w14:paraId="3D4484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（一）包庇、纵容统计违法行为；</w:t>
      </w:r>
    </w:p>
    <w:p w14:paraId="14AFAD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（二）瞒案不报，压案不查；</w:t>
      </w:r>
    </w:p>
    <w:p w14:paraId="7A3216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（三）未按规定受理、核查、处理统计违法举报；</w:t>
      </w:r>
    </w:p>
    <w:p w14:paraId="58834E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（四）未按法定权限、程序和要求开展统计执法监督检查，造成不良后果；</w:t>
      </w:r>
    </w:p>
    <w:p w14:paraId="5D5106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（五）违反保密规定，泄露举报人或者案情；</w:t>
      </w:r>
    </w:p>
    <w:p w14:paraId="06ECDF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（六）滥用职权，徇私舞弊；</w:t>
      </w:r>
    </w:p>
    <w:p w14:paraId="373AD0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（七）其他违纪违法行为。</w:t>
      </w:r>
    </w:p>
    <w:p w14:paraId="3AEBD2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县级以上人民政府统计机构负责人、执法检查人员及其相关人员在统计执法监督检查中，违反有关纪律的，依纪依法给予处分。</w:t>
      </w:r>
    </w:p>
    <w:p w14:paraId="685F6F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县级以上人民政府统计机构负责人、执法检查人员及其相关人员泄露在检查过程中知悉的国家秘密、商业秘密、个人信息资料和能够识别或者推断单个调查对象身份的资料，依纪依法给予处分。</w:t>
      </w:r>
    </w:p>
    <w:p w14:paraId="1DA1F4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center"/>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第六章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附则</w:t>
      </w:r>
    </w:p>
    <w:p w14:paraId="6B968D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本办法自公布之日起施行。</w:t>
      </w:r>
    </w:p>
    <w:p w14:paraId="4E59FF3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rPr>
      </w:pPr>
    </w:p>
    <w:p w14:paraId="0141DD0F">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797DC52E">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388372C6">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12DABCD4">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265B7909">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2710CF50">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74452ADD">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1D15E7F4">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7659EC4C">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62CDD336">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58F3B0AC">
      <w:pPr>
        <w:pageBreakBefore w:val="0"/>
        <w:kinsoku/>
        <w:topLinePunct w:val="0"/>
        <w:autoSpaceDE/>
        <w:autoSpaceDN/>
        <w:bidi w:val="0"/>
        <w:adjustRightInd/>
        <w:spacing w:line="240" w:lineRule="auto"/>
        <w:rPr>
          <w:i w:val="0"/>
          <w:iCs w:val="0"/>
          <w:caps w:val="0"/>
          <w:color w:val="auto"/>
          <w:spacing w:val="0"/>
          <w:sz w:val="36"/>
          <w:szCs w:val="36"/>
          <w:shd w:val="clear" w:color="auto" w:fill="FFFFFF"/>
        </w:rPr>
      </w:pPr>
    </w:p>
    <w:p w14:paraId="183CFF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1"/>
        <w:rPr>
          <w:i w:val="0"/>
          <w:iCs w:val="0"/>
          <w:caps w:val="0"/>
          <w:color w:val="auto"/>
          <w:spacing w:val="0"/>
          <w:sz w:val="36"/>
          <w:szCs w:val="36"/>
          <w:shd w:val="clear" w:color="auto" w:fill="FFFFFF"/>
        </w:rPr>
      </w:pPr>
      <w:r>
        <w:rPr>
          <w:i w:val="0"/>
          <w:iCs w:val="0"/>
          <w:caps w:val="0"/>
          <w:color w:val="auto"/>
          <w:spacing w:val="0"/>
          <w:sz w:val="36"/>
          <w:szCs w:val="36"/>
          <w:shd w:val="clear" w:color="auto" w:fill="FFFFFF"/>
        </w:rPr>
        <w:br w:type="page"/>
      </w:r>
      <w:bookmarkStart w:id="70" w:name="_Toc1900"/>
      <w:bookmarkStart w:id="71" w:name="_Toc22983"/>
      <w:r>
        <w:rPr>
          <w:i w:val="0"/>
          <w:iCs w:val="0"/>
          <w:caps w:val="0"/>
          <w:color w:val="auto"/>
          <w:spacing w:val="0"/>
          <w:sz w:val="36"/>
          <w:szCs w:val="36"/>
          <w:shd w:val="clear" w:color="auto" w:fill="FFFFFF"/>
        </w:rPr>
        <w:t>统计违法违纪行为处分规定</w:t>
      </w:r>
      <w:bookmarkEnd w:id="70"/>
      <w:bookmarkEnd w:id="71"/>
    </w:p>
    <w:p w14:paraId="253D0D9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为了加强统计工作，提高统计数据的准确性和及时性，惩处和预防统计违法违纪行为，促进统计法律法规的贯彻实施，根据《中华人民共和国统计法</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中华人民共和国行政监察法</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中华人民共和国公务员法</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行政机关公务员处分条例》及其他有关法律、行政法规，制定本规定。</w:t>
      </w:r>
    </w:p>
    <w:p w14:paraId="19223F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有统计违法违纪行为的单位中负有责任的领导人员和直接责任人员，以及有统计违法违纪行为的个人，应当承担纪律责任。属于下列人员的（以下统称有关责任人员），由任免机关或者监察机关按照管理权限依法给予处分：</w:t>
      </w:r>
    </w:p>
    <w:p w14:paraId="6FF6DFB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（一）行政机关公务员；</w:t>
      </w:r>
    </w:p>
    <w:p w14:paraId="612EEA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（二）</w:t>
      </w:r>
      <w:r>
        <w:rPr>
          <w:rFonts w:hint="eastAsia" w:ascii="仿宋" w:hAnsi="仿宋" w:eastAsia="仿宋" w:cs="仿宋"/>
          <w:i w:val="0"/>
          <w:iCs w:val="0"/>
          <w:caps w:val="0"/>
          <w:color w:val="auto"/>
          <w:spacing w:val="0"/>
          <w:sz w:val="24"/>
          <w:szCs w:val="24"/>
          <w:shd w:val="clear" w:color="auto" w:fill="FFFFFF"/>
          <w:lang w:eastAsia="zh-CN"/>
        </w:rPr>
        <w:t>法律法规</w:t>
      </w:r>
      <w:r>
        <w:rPr>
          <w:rFonts w:hint="eastAsia" w:ascii="仿宋" w:hAnsi="仿宋" w:eastAsia="仿宋" w:cs="仿宋"/>
          <w:i w:val="0"/>
          <w:iCs w:val="0"/>
          <w:caps w:val="0"/>
          <w:color w:val="auto"/>
          <w:spacing w:val="0"/>
          <w:sz w:val="24"/>
          <w:szCs w:val="24"/>
          <w:shd w:val="clear" w:color="auto" w:fill="FFFFFF"/>
        </w:rPr>
        <w:t>授权的具有公共事务管理职能的事业单位中经批准参照《中华人民共和国公务员法》管理的工作人员；</w:t>
      </w:r>
    </w:p>
    <w:p w14:paraId="1D7F77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（三）行政机关依法委托的组织中除工勤人员以外的工作人员；</w:t>
      </w:r>
    </w:p>
    <w:p w14:paraId="3D169DA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（四）企业、事业单位、社会团体中由行政机关任命的人员。</w:t>
      </w:r>
    </w:p>
    <w:p w14:paraId="7CA794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法律、行政法规、国务院决定和国务院监察机关、国务院人力资源社会保障部门制定的处分规章对统计违法违纪行为的处分另有规定的，从其规定。</w:t>
      </w:r>
    </w:p>
    <w:p w14:paraId="4DF240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地方、部门以及企业、事业单位、社会团体的领导人员有下列行为之一的，给予记过或者记大过处分；情节较重的，给予降级或者撤职处分；情节严重的，给予开除处分：</w:t>
      </w:r>
    </w:p>
    <w:p w14:paraId="46801E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（一）自行修改统计资料、编造虚假数据的；</w:t>
      </w:r>
    </w:p>
    <w:p w14:paraId="1DE70D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（二）强令、授意本地区、本部门、本单位统计机构、统计人员或者其他有关机构、人员拒报、虚报、瞒报或者篡改统计资料、编造虚假数据的；</w:t>
      </w:r>
    </w:p>
    <w:p w14:paraId="0CB037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（三）对拒绝、抵制篡改统计资料或者对拒绝、抵制编造虚假数据的人员进行打击报复的；</w:t>
      </w:r>
    </w:p>
    <w:p w14:paraId="0A80FC4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（四）对揭发、检举统计违法违纪行为的人员进行打击报复的。</w:t>
      </w:r>
    </w:p>
    <w:p w14:paraId="6897C0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有前款第（三）项、第（四）项规定行为的，应当从重处分。</w:t>
      </w:r>
    </w:p>
    <w:p w14:paraId="562555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地方、部门以及企业、事业单位、社会团体的领导人员，对本地区、本部门、本单位严重失实的统计数据，应当发现而未发现或者发现后不予纠正，造成不良后果的，给予警告或者记过处分；造成严重后果的，给予记大过或者降级处分；造成特别严重后果的，给予撤职或者开除处分。</w:t>
      </w:r>
    </w:p>
    <w:p w14:paraId="1FC489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各级人民政府统计机构、有关部门及其工作人员在实施统计调查活动中，有下列行为之一的，对有关责任人员，给予记过或者记大过处分；情节较重的，给予降级或者撤职处分；情节严重的，给予开除处分：</w:t>
      </w:r>
    </w:p>
    <w:p w14:paraId="7930A3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（一）强令、授意统计调查对象虚报、瞒报或者伪造、篡改统计资料的；</w:t>
      </w:r>
    </w:p>
    <w:p w14:paraId="0435BE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（二）参与篡改统计资料、编造虚假数据的。</w:t>
      </w:r>
    </w:p>
    <w:p w14:paraId="353FD8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各级人民政府统计机构、有关部门及其工作人员在实施统计调查活动中，有下列行为之一的，对有关责任人员，给予警告、记过或者记大过处分；情节较重的，给予降级处分；情节严重的，给予撤职处分：</w:t>
      </w:r>
    </w:p>
    <w:p w14:paraId="38EAC3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（一）故意拖延或者拒报统计资料的；</w:t>
      </w:r>
    </w:p>
    <w:p w14:paraId="4D32F3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（二）明知统计数据不实，不履行职责调查核实，造成不良后果的。</w:t>
      </w:r>
    </w:p>
    <w:p w14:paraId="14ADC7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统计调查对象中的单位有下列行为之一，情节较重的，对有关责任人员，给予警告、记过或者记大过处分；情节严重的，给予降级或者撤职处分；情节特别严重的，给予开除处分：</w:t>
      </w:r>
    </w:p>
    <w:p w14:paraId="52F2D1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（一）虚报、瞒报统计资料的；</w:t>
      </w:r>
    </w:p>
    <w:p w14:paraId="0679A2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（二）伪造、篡改统计资料的；</w:t>
      </w:r>
    </w:p>
    <w:p w14:paraId="7EB7B5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（三）拒报或者屡次迟报统计资料的；</w:t>
      </w:r>
    </w:p>
    <w:p w14:paraId="5143F1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（四）拒绝提供情况、提供虚假情况或者转移、隐匿、毁弃原始统计记录、统计台账、统计报表以及与统计有关的其他资料的。</w:t>
      </w:r>
    </w:p>
    <w:p w14:paraId="24BCC9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违反国家规定的权限和程序公布统计资料，造成不良后果的，对有关责任人员，给予警告或者记过处分；情节较重的，给予记大过或者降级处分；情节严重的，给予撤职处分。</w:t>
      </w:r>
    </w:p>
    <w:p w14:paraId="0DA980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有下列行为之一，造成不良后果的，对有关责任人员，给予警告、记过或者记大过处分；情节较重的，给予降级或者撤职处分；情节严重的，给予开除处分：</w:t>
      </w:r>
    </w:p>
    <w:p w14:paraId="768ACA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（一）泄露属于国家秘密的统计资料的；</w:t>
      </w:r>
    </w:p>
    <w:p w14:paraId="1236E4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（二）未经本人同意，泄露统计调查对象个人、家庭资料的；</w:t>
      </w:r>
    </w:p>
    <w:p w14:paraId="4C5E57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（三）泄露统计调查中知悉的统计调查对象商业秘密的。</w:t>
      </w:r>
    </w:p>
    <w:p w14:paraId="26C3F0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包庇、纵容统计违法违纪行为的，对有关责任人员，给予记过或者记大过处分；情节较重的，给予降级或者撤职处分；情节严重的，给予开除处分。</w:t>
      </w:r>
    </w:p>
    <w:p w14:paraId="45140E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受到处分的人员对处分决定不服的，依照《中华人民共和国行政监察法</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中华人民共和国公务员法</w:t>
      </w:r>
      <w:r>
        <w:rPr>
          <w:rFonts w:hint="eastAsia" w:ascii="仿宋" w:hAnsi="仿宋" w:eastAsia="仿宋" w:cs="仿宋"/>
          <w:i w:val="0"/>
          <w:iCs w:val="0"/>
          <w:caps w:val="0"/>
          <w:color w:val="auto"/>
          <w:spacing w:val="0"/>
          <w:sz w:val="24"/>
          <w:szCs w:val="24"/>
          <w:shd w:val="clear" w:color="auto" w:fill="FFFFFF"/>
          <w:lang w:eastAsia="zh-CN"/>
        </w:rPr>
        <w:t>》《</w:t>
      </w:r>
      <w:r>
        <w:rPr>
          <w:rFonts w:hint="eastAsia" w:ascii="仿宋" w:hAnsi="仿宋" w:eastAsia="仿宋" w:cs="仿宋"/>
          <w:i w:val="0"/>
          <w:iCs w:val="0"/>
          <w:caps w:val="0"/>
          <w:color w:val="auto"/>
          <w:spacing w:val="0"/>
          <w:sz w:val="24"/>
          <w:szCs w:val="24"/>
          <w:shd w:val="clear" w:color="auto" w:fill="FFFFFF"/>
        </w:rPr>
        <w:t>行政机关公务员处分条例》等有关规定，可以申请复核或者申诉。</w:t>
      </w:r>
    </w:p>
    <w:p w14:paraId="6A4AD8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任免机关、监察机关和人民政府统计机构建立案件移送制度。</w:t>
      </w:r>
    </w:p>
    <w:p w14:paraId="545E0A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任免机关、监察机关查处统计违法违纪案件，认为应当由人民政府统计机构给予行政处罚的，应当将有关案件材料移送人民政府统计机构。人民政府统计机构应当依法及时查处，并将处理结果书面告知任免机关、监察机关。</w:t>
      </w:r>
    </w:p>
    <w:p w14:paraId="0C7C26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人民政府统计机构查处统计行政违法案件，认为应当由任免机关或者监察机关给予处分的，应当及时将有关案件材料移送任免机关或者监察机关。任免机关或者监察机关应当依法及时查处，并将处理结果书面告知人民政府统计机构。</w:t>
      </w:r>
    </w:p>
    <w:p w14:paraId="3012EF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有统计违法违纪行为，应当给予党纪处分的，移送党的纪律检查机关处理。涉嫌犯罪的，移送司法机关依法追究刑事责任。</w:t>
      </w:r>
    </w:p>
    <w:p w14:paraId="6BEDA5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本规定由监察部、人力资源和社会保障部、国家统计局负责解释。</w:t>
      </w:r>
    </w:p>
    <w:p w14:paraId="44C54C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本规定自</w:t>
      </w:r>
      <w:r>
        <w:rPr>
          <w:rFonts w:hint="eastAsia" w:ascii="仿宋" w:hAnsi="仿宋" w:eastAsia="仿宋" w:cs="仿宋"/>
          <w:i w:val="0"/>
          <w:iCs w:val="0"/>
          <w:caps w:val="0"/>
          <w:color w:val="auto"/>
          <w:spacing w:val="0"/>
          <w:sz w:val="24"/>
          <w:szCs w:val="24"/>
          <w:shd w:val="clear" w:color="auto" w:fill="FFFFFF"/>
          <w:lang w:val="en-US" w:eastAsia="zh-CN"/>
        </w:rPr>
        <w:t>2009</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1</w:t>
      </w:r>
      <w:r>
        <w:rPr>
          <w:rFonts w:hint="eastAsia" w:ascii="仿宋" w:hAnsi="仿宋" w:eastAsia="仿宋" w:cs="仿宋"/>
          <w:i w:val="0"/>
          <w:iCs w:val="0"/>
          <w:caps w:val="0"/>
          <w:color w:val="auto"/>
          <w:spacing w:val="0"/>
          <w:sz w:val="24"/>
          <w:szCs w:val="24"/>
          <w:shd w:val="clear" w:color="auto" w:fill="FFFFFF"/>
        </w:rPr>
        <w:t>日起施行。</w:t>
      </w:r>
    </w:p>
    <w:p w14:paraId="62862531">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336D959D">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01AF4693">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1FAA2F09">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22C9B165">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28060015">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2FA58864">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0C3AC8F6">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5D9DEA9E">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527F52BB">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3B3AC5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1"/>
        <w:rPr>
          <w:rFonts w:hint="eastAsia"/>
          <w:i w:val="0"/>
          <w:iCs w:val="0"/>
          <w:caps w:val="0"/>
          <w:color w:val="auto"/>
          <w:spacing w:val="0"/>
          <w:sz w:val="36"/>
          <w:szCs w:val="36"/>
          <w:shd w:val="clear" w:color="auto" w:fill="FFFFFF"/>
        </w:rPr>
      </w:pPr>
      <w:r>
        <w:rPr>
          <w:rFonts w:hint="eastAsia"/>
          <w:i w:val="0"/>
          <w:iCs w:val="0"/>
          <w:caps w:val="0"/>
          <w:color w:val="auto"/>
          <w:spacing w:val="0"/>
          <w:sz w:val="36"/>
          <w:szCs w:val="36"/>
          <w:shd w:val="clear" w:color="auto" w:fill="FFFFFF"/>
        </w:rPr>
        <w:br w:type="page"/>
      </w:r>
      <w:bookmarkStart w:id="72" w:name="_Toc16393"/>
      <w:bookmarkStart w:id="73" w:name="_Toc32569"/>
      <w:r>
        <w:rPr>
          <w:rFonts w:hint="eastAsia"/>
          <w:i w:val="0"/>
          <w:iCs w:val="0"/>
          <w:caps w:val="0"/>
          <w:color w:val="auto"/>
          <w:spacing w:val="0"/>
          <w:sz w:val="36"/>
          <w:szCs w:val="36"/>
          <w:shd w:val="clear" w:color="auto" w:fill="FFFFFF"/>
        </w:rPr>
        <w:t>2019年教育事业统计调查制度修订主要内容</w:t>
      </w:r>
      <w:bookmarkEnd w:id="72"/>
      <w:bookmarkEnd w:id="73"/>
    </w:p>
    <w:p w14:paraId="2620CC8A">
      <w:pPr>
        <w:keepNext w:val="0"/>
        <w:keepLines w:val="0"/>
        <w:pageBreakBefore w:val="0"/>
        <w:kinsoku/>
        <w:wordWrap/>
        <w:overflowPunct/>
        <w:topLinePunct w:val="0"/>
        <w:autoSpaceDE/>
        <w:autoSpaceDN/>
        <w:bidi w:val="0"/>
        <w:adjustRightInd/>
        <w:snapToGrid w:val="0"/>
        <w:spacing w:before="468" w:beforeLines="150" w:line="240" w:lineRule="auto"/>
        <w:ind w:firstLine="482" w:firstLineChars="200"/>
        <w:textAlignment w:val="auto"/>
        <w:rPr>
          <w:rFonts w:ascii="黑体" w:hAnsi="黑体" w:eastAsia="黑体"/>
          <w:b/>
          <w:bCs/>
          <w:color w:val="auto"/>
          <w:sz w:val="24"/>
          <w:szCs w:val="24"/>
        </w:rPr>
      </w:pPr>
      <w:r>
        <w:rPr>
          <w:rFonts w:hint="eastAsia" w:ascii="黑体" w:hAnsi="黑体" w:eastAsia="黑体"/>
          <w:b/>
          <w:bCs/>
          <w:color w:val="auto"/>
          <w:sz w:val="24"/>
          <w:szCs w:val="24"/>
        </w:rPr>
        <w:t xml:space="preserve">一、基础教育 </w:t>
      </w:r>
    </w:p>
    <w:p w14:paraId="597A4A5B">
      <w:pPr>
        <w:keepNext w:val="0"/>
        <w:keepLines w:val="0"/>
        <w:pageBreakBefore w:val="0"/>
        <w:kinsoku/>
        <w:wordWrap/>
        <w:overflowPunct/>
        <w:topLinePunct w:val="0"/>
        <w:autoSpaceDE/>
        <w:autoSpaceDN/>
        <w:bidi w:val="0"/>
        <w:adjustRightInd/>
        <w:snapToGrid w:val="0"/>
        <w:spacing w:before="50"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1.</w:t>
      </w:r>
      <w:r>
        <w:rPr>
          <w:rFonts w:hint="eastAsia" w:ascii="仿宋" w:hAnsi="仿宋" w:eastAsia="仿宋" w:cs="仿宋"/>
          <w:color w:val="auto"/>
          <w:sz w:val="24"/>
          <w:szCs w:val="24"/>
        </w:rPr>
        <w:t>“基础基214特殊教育班数”和“基础基315特殊教育学生数”两张表，增加“学前教育阶段”指标项。</w:t>
      </w:r>
    </w:p>
    <w:p w14:paraId="1E16266C">
      <w:pPr>
        <w:keepNext w:val="0"/>
        <w:keepLines w:val="0"/>
        <w:pageBreakBefore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2.</w:t>
      </w:r>
      <w:r>
        <w:rPr>
          <w:rFonts w:hint="eastAsia" w:ascii="仿宋" w:hAnsi="仿宋" w:eastAsia="仿宋" w:cs="仿宋"/>
          <w:color w:val="auto"/>
          <w:sz w:val="24"/>
          <w:szCs w:val="24"/>
        </w:rPr>
        <w:t>“基础基331中小学、特殊教育学生变动情况”表，增加“幼儿园”指标项及“女”和“少数民族”指标分类项，表中其他编号顺延，变更表名，增加相应填报说明。</w:t>
      </w:r>
    </w:p>
    <w:p w14:paraId="27CE22BC">
      <w:pPr>
        <w:keepNext w:val="0"/>
        <w:keepLines w:val="0"/>
        <w:pageBreakBefore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3.</w:t>
      </w:r>
      <w:r>
        <w:rPr>
          <w:rFonts w:hint="eastAsia" w:ascii="仿宋" w:hAnsi="仿宋" w:eastAsia="仿宋" w:cs="仿宋"/>
          <w:color w:val="auto"/>
          <w:sz w:val="24"/>
          <w:szCs w:val="24"/>
        </w:rPr>
        <w:t>“基础基341在校生其他情况”表，取消“港澳台”指标项，增加“香港”“澳门”“台湾”指标项，</w:t>
      </w:r>
      <w:bookmarkStart w:id="74" w:name="_Hlk15547352"/>
      <w:bookmarkStart w:id="75" w:name="_Hlk15547544"/>
      <w:r>
        <w:rPr>
          <w:rFonts w:hint="eastAsia" w:ascii="仿宋" w:hAnsi="仿宋" w:eastAsia="仿宋" w:cs="仿宋"/>
          <w:color w:val="auto"/>
          <w:sz w:val="24"/>
          <w:szCs w:val="24"/>
        </w:rPr>
        <w:t>表中其他</w:t>
      </w:r>
      <w:bookmarkEnd w:id="74"/>
      <w:r>
        <w:rPr>
          <w:rFonts w:hint="eastAsia" w:ascii="仿宋" w:hAnsi="仿宋" w:eastAsia="仿宋" w:cs="仿宋"/>
          <w:color w:val="auto"/>
          <w:sz w:val="24"/>
          <w:szCs w:val="24"/>
        </w:rPr>
        <w:t>编号顺延</w:t>
      </w:r>
      <w:bookmarkEnd w:id="75"/>
      <w:r>
        <w:rPr>
          <w:rFonts w:hint="eastAsia" w:ascii="仿宋" w:hAnsi="仿宋" w:eastAsia="仿宋" w:cs="仿宋"/>
          <w:color w:val="auto"/>
          <w:sz w:val="24"/>
          <w:szCs w:val="24"/>
        </w:rPr>
        <w:t>。</w:t>
      </w:r>
    </w:p>
    <w:p w14:paraId="37686C91">
      <w:pPr>
        <w:keepNext w:val="0"/>
        <w:keepLines w:val="0"/>
        <w:pageBreakBefore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4.</w:t>
      </w:r>
      <w:r>
        <w:rPr>
          <w:rFonts w:hint="eastAsia" w:ascii="仿宋" w:hAnsi="仿宋" w:eastAsia="仿宋" w:cs="仿宋"/>
          <w:color w:val="auto"/>
          <w:sz w:val="24"/>
          <w:szCs w:val="24"/>
        </w:rPr>
        <w:t>“基础基411幼儿园教职工”表，将“保健医”修订为“卫生保健人员”，指标解释不变，增加相应填报说明。</w:t>
      </w:r>
    </w:p>
    <w:p w14:paraId="10FE5690">
      <w:pPr>
        <w:keepNext w:val="0"/>
        <w:keepLines w:val="0"/>
        <w:pageBreakBefore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5.</w:t>
      </w:r>
      <w:bookmarkStart w:id="76" w:name="_Hlk15483468"/>
      <w:r>
        <w:rPr>
          <w:rFonts w:hint="eastAsia" w:ascii="仿宋" w:hAnsi="仿宋" w:eastAsia="仿宋" w:cs="仿宋"/>
          <w:color w:val="auto"/>
          <w:sz w:val="24"/>
          <w:szCs w:val="24"/>
        </w:rPr>
        <w:t>“基础基</w:t>
      </w:r>
      <w:bookmarkEnd w:id="76"/>
      <w:r>
        <w:rPr>
          <w:rFonts w:hint="eastAsia" w:ascii="仿宋" w:hAnsi="仿宋" w:eastAsia="仿宋" w:cs="仿宋"/>
          <w:color w:val="auto"/>
          <w:sz w:val="24"/>
          <w:szCs w:val="24"/>
        </w:rPr>
        <w:t>411幼儿园教职工”“基础基412中小学教职工”“基础基413特殊教育学校教职工”等三张表，将“编制人员”修订为“在编人员”，增加相应填报说明。</w:t>
      </w:r>
    </w:p>
    <w:p w14:paraId="7B891110">
      <w:pPr>
        <w:keepNext w:val="0"/>
        <w:keepLines w:val="0"/>
        <w:pageBreakBefore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rPr>
      </w:pPr>
      <w:bookmarkStart w:id="77" w:name="_Hlk15547728"/>
      <w:r>
        <w:rPr>
          <w:rFonts w:hint="eastAsia" w:ascii="仿宋" w:hAnsi="仿宋" w:eastAsia="仿宋" w:cs="仿宋"/>
          <w:color w:val="auto"/>
          <w:sz w:val="24"/>
          <w:szCs w:val="24"/>
        </w:rPr>
        <w:t>6.“基础基4211幼儿园园长、专任教师分学历、分专业技术职务”“基础基422中小学专任教师分专业技术职务、分年龄”“基础基425特殊教育学校专任教师分学历、分专业技术职务”等三张表，修订“中小学教师职称”相关内容，具体为：</w:t>
      </w:r>
    </w:p>
    <w:p w14:paraId="5F3E8ED9">
      <w:pPr>
        <w:keepNext w:val="0"/>
        <w:keepLines w:val="0"/>
        <w:pageBreakBefore w:val="0"/>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4"/>
          <w:szCs w:val="24"/>
        </w:rPr>
      </w:pPr>
    </w:p>
    <w:p w14:paraId="64B15430">
      <w:pPr>
        <w:keepNext w:val="0"/>
        <w:keepLines w:val="0"/>
        <w:pageBreakBefore w:val="0"/>
        <w:kinsoku/>
        <w:wordWrap/>
        <w:overflowPunct/>
        <w:topLinePunct w:val="0"/>
        <w:autoSpaceDE/>
        <w:autoSpaceDN/>
        <w:bidi w:val="0"/>
        <w:adjustRightInd/>
        <w:snapToGrid w:val="0"/>
        <w:spacing w:before="156" w:beforeLines="50" w:after="156" w:afterLines="50" w:line="240" w:lineRule="auto"/>
        <w:ind w:left="-108"/>
        <w:jc w:val="center"/>
        <w:textAlignment w:val="auto"/>
        <w:rPr>
          <w:rFonts w:hint="eastAsia" w:ascii="仿宋" w:hAnsi="仿宋" w:eastAsia="仿宋" w:cs="仿宋"/>
          <w:color w:val="auto"/>
          <w:sz w:val="20"/>
          <w:szCs w:val="21"/>
        </w:rPr>
      </w:pPr>
      <w:r>
        <w:rPr>
          <w:rFonts w:hint="eastAsia" w:ascii="仿宋" w:hAnsi="仿宋" w:eastAsia="仿宋" w:cs="仿宋"/>
          <w:b/>
          <w:bCs/>
          <w:color w:val="auto"/>
          <w:sz w:val="22"/>
          <w:szCs w:val="22"/>
        </w:rPr>
        <w:t>中小学教师职称制度修订前后对照表</w:t>
      </w:r>
    </w:p>
    <w:tbl>
      <w:tblPr>
        <w:tblStyle w:val="12"/>
        <w:tblW w:w="7513"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985"/>
        <w:gridCol w:w="3260"/>
      </w:tblGrid>
      <w:tr w14:paraId="4361F68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53" w:type="dxa"/>
            <w:gridSpan w:val="2"/>
            <w:tcBorders>
              <w:top w:val="double" w:color="auto" w:sz="4" w:space="0"/>
              <w:bottom w:val="single" w:color="auto" w:sz="8" w:space="0"/>
            </w:tcBorders>
            <w:noWrap w:val="0"/>
            <w:vAlign w:val="center"/>
          </w:tcPr>
          <w:p w14:paraId="343927BE">
            <w:pPr>
              <w:keepNext w:val="0"/>
              <w:keepLines w:val="0"/>
              <w:pageBreakBefore w:val="0"/>
              <w:kinsoku/>
              <w:wordWrap/>
              <w:overflowPunct/>
              <w:topLinePunct w:val="0"/>
              <w:autoSpaceDE/>
              <w:autoSpaceDN/>
              <w:bidi w:val="0"/>
              <w:adjustRightInd/>
              <w:snapToGrid w:val="0"/>
              <w:spacing w:before="156" w:beforeLines="50" w:line="24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修订前</w:t>
            </w:r>
          </w:p>
        </w:tc>
        <w:tc>
          <w:tcPr>
            <w:tcW w:w="3260" w:type="dxa"/>
            <w:tcBorders>
              <w:top w:val="double" w:color="auto" w:sz="4" w:space="0"/>
              <w:bottom w:val="single" w:color="auto" w:sz="8" w:space="0"/>
            </w:tcBorders>
            <w:noWrap w:val="0"/>
            <w:vAlign w:val="center"/>
          </w:tcPr>
          <w:p w14:paraId="55EB40F0">
            <w:pPr>
              <w:keepNext w:val="0"/>
              <w:keepLines w:val="0"/>
              <w:pageBreakBefore w:val="0"/>
              <w:kinsoku/>
              <w:wordWrap/>
              <w:overflowPunct/>
              <w:topLinePunct w:val="0"/>
              <w:autoSpaceDE/>
              <w:autoSpaceDN/>
              <w:bidi w:val="0"/>
              <w:adjustRightInd/>
              <w:snapToGrid w:val="0"/>
              <w:spacing w:before="156" w:beforeLines="50" w:line="24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修订后</w:t>
            </w:r>
          </w:p>
        </w:tc>
      </w:tr>
      <w:tr w14:paraId="0A1A9BD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8" w:type="dxa"/>
            <w:tcBorders>
              <w:top w:val="single" w:color="auto" w:sz="8" w:space="0"/>
            </w:tcBorders>
            <w:noWrap w:val="0"/>
            <w:vAlign w:val="center"/>
          </w:tcPr>
          <w:p w14:paraId="4F7C60AE">
            <w:pPr>
              <w:keepNext w:val="0"/>
              <w:keepLines w:val="0"/>
              <w:pageBreakBefore w:val="0"/>
              <w:kinsoku/>
              <w:wordWrap/>
              <w:overflowPunct/>
              <w:topLinePunct w:val="0"/>
              <w:autoSpaceDE/>
              <w:autoSpaceDN/>
              <w:bidi w:val="0"/>
              <w:adjustRightInd/>
              <w:snapToGrid w:val="0"/>
              <w:spacing w:before="156" w:beforeLines="50" w:line="240" w:lineRule="auto"/>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小学</w:t>
            </w:r>
          </w:p>
        </w:tc>
        <w:tc>
          <w:tcPr>
            <w:tcW w:w="1985" w:type="dxa"/>
            <w:tcBorders>
              <w:top w:val="single" w:color="auto" w:sz="8" w:space="0"/>
            </w:tcBorders>
            <w:noWrap w:val="0"/>
            <w:vAlign w:val="center"/>
          </w:tcPr>
          <w:p w14:paraId="3A7CF267">
            <w:pPr>
              <w:keepNext w:val="0"/>
              <w:keepLines w:val="0"/>
              <w:pageBreakBefore w:val="0"/>
              <w:kinsoku/>
              <w:wordWrap/>
              <w:overflowPunct/>
              <w:topLinePunct w:val="0"/>
              <w:autoSpaceDE/>
              <w:autoSpaceDN/>
              <w:bidi w:val="0"/>
              <w:adjustRightInd/>
              <w:snapToGrid w:val="0"/>
              <w:spacing w:before="156" w:beforeLines="50" w:line="240" w:lineRule="auto"/>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中学</w:t>
            </w:r>
          </w:p>
        </w:tc>
        <w:tc>
          <w:tcPr>
            <w:tcW w:w="3260" w:type="dxa"/>
            <w:tcBorders>
              <w:top w:val="single" w:color="auto" w:sz="8" w:space="0"/>
            </w:tcBorders>
            <w:noWrap w:val="0"/>
            <w:vAlign w:val="center"/>
          </w:tcPr>
          <w:p w14:paraId="473640F4">
            <w:pPr>
              <w:keepNext w:val="0"/>
              <w:keepLines w:val="0"/>
              <w:pageBreakBefore w:val="0"/>
              <w:kinsoku/>
              <w:wordWrap/>
              <w:overflowPunct/>
              <w:topLinePunct w:val="0"/>
              <w:autoSpaceDE/>
              <w:autoSpaceDN/>
              <w:bidi w:val="0"/>
              <w:adjustRightInd/>
              <w:snapToGrid w:val="0"/>
              <w:spacing w:before="156" w:beforeLines="50" w:line="240" w:lineRule="auto"/>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幼儿园、中小学</w:t>
            </w:r>
          </w:p>
        </w:tc>
      </w:tr>
      <w:tr w14:paraId="4D54EC4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8" w:type="dxa"/>
            <w:noWrap w:val="0"/>
            <w:vAlign w:val="center"/>
          </w:tcPr>
          <w:p w14:paraId="3B11994E">
            <w:pPr>
              <w:keepNext w:val="0"/>
              <w:keepLines w:val="0"/>
              <w:pageBreakBefore w:val="0"/>
              <w:kinsoku/>
              <w:wordWrap/>
              <w:overflowPunct/>
              <w:topLinePunct w:val="0"/>
              <w:autoSpaceDE/>
              <w:autoSpaceDN/>
              <w:bidi w:val="0"/>
              <w:adjustRightInd/>
              <w:snapToGrid w:val="0"/>
              <w:spacing w:before="156" w:beforeLines="50" w:line="240" w:lineRule="auto"/>
              <w:ind w:firstLine="462" w:firstLineChars="220"/>
              <w:jc w:val="center"/>
              <w:textAlignment w:val="auto"/>
              <w:rPr>
                <w:rFonts w:hint="eastAsia" w:ascii="仿宋" w:hAnsi="仿宋" w:eastAsia="仿宋" w:cs="仿宋"/>
                <w:color w:val="auto"/>
                <w:sz w:val="21"/>
                <w:szCs w:val="21"/>
              </w:rPr>
            </w:pPr>
          </w:p>
        </w:tc>
        <w:tc>
          <w:tcPr>
            <w:tcW w:w="1985" w:type="dxa"/>
            <w:noWrap w:val="0"/>
            <w:vAlign w:val="center"/>
          </w:tcPr>
          <w:p w14:paraId="160F0809">
            <w:pPr>
              <w:keepNext w:val="0"/>
              <w:keepLines w:val="0"/>
              <w:pageBreakBefore w:val="0"/>
              <w:kinsoku/>
              <w:wordWrap/>
              <w:overflowPunct/>
              <w:topLinePunct w:val="0"/>
              <w:autoSpaceDE/>
              <w:autoSpaceDN/>
              <w:bidi w:val="0"/>
              <w:adjustRightInd/>
              <w:snapToGrid w:val="0"/>
              <w:spacing w:before="156" w:beforeLines="50" w:line="240" w:lineRule="auto"/>
              <w:ind w:firstLine="462" w:firstLineChars="220"/>
              <w:jc w:val="center"/>
              <w:textAlignment w:val="auto"/>
              <w:rPr>
                <w:rFonts w:hint="eastAsia" w:ascii="仿宋" w:hAnsi="仿宋" w:eastAsia="仿宋" w:cs="仿宋"/>
                <w:color w:val="auto"/>
                <w:sz w:val="21"/>
                <w:szCs w:val="21"/>
              </w:rPr>
            </w:pPr>
          </w:p>
        </w:tc>
        <w:tc>
          <w:tcPr>
            <w:tcW w:w="3260" w:type="dxa"/>
            <w:noWrap w:val="0"/>
            <w:vAlign w:val="center"/>
          </w:tcPr>
          <w:p w14:paraId="5E02CBFE">
            <w:pPr>
              <w:keepNext w:val="0"/>
              <w:keepLines w:val="0"/>
              <w:pageBreakBefore w:val="0"/>
              <w:widowControl/>
              <w:kinsoku/>
              <w:wordWrap/>
              <w:overflowPunct/>
              <w:topLinePunct w:val="0"/>
              <w:autoSpaceDE/>
              <w:autoSpaceDN/>
              <w:bidi w:val="0"/>
              <w:adjustRightInd/>
              <w:snapToGrid w:val="0"/>
              <w:spacing w:before="156" w:beforeLines="50" w:line="240" w:lineRule="auto"/>
              <w:jc w:val="center"/>
              <w:textAlignment w:val="auto"/>
              <w:rPr>
                <w:rFonts w:hint="eastAsia" w:ascii="仿宋" w:hAnsi="仿宋" w:eastAsia="仿宋" w:cs="仿宋"/>
                <w:color w:val="auto"/>
                <w:kern w:val="0"/>
                <w:sz w:val="21"/>
                <w:szCs w:val="21"/>
              </w:rPr>
            </w:pPr>
            <w:r>
              <w:rPr>
                <w:rFonts w:hint="eastAsia" w:ascii="仿宋" w:hAnsi="仿宋" w:eastAsia="仿宋" w:cs="仿宋"/>
                <w:bCs/>
                <w:color w:val="auto"/>
                <w:sz w:val="21"/>
                <w:szCs w:val="21"/>
              </w:rPr>
              <w:t>正高级</w:t>
            </w:r>
          </w:p>
        </w:tc>
      </w:tr>
      <w:tr w14:paraId="749C62AF">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8" w:type="dxa"/>
            <w:noWrap w:val="0"/>
            <w:vAlign w:val="center"/>
          </w:tcPr>
          <w:p w14:paraId="1B49C5A6">
            <w:pPr>
              <w:keepNext w:val="0"/>
              <w:keepLines w:val="0"/>
              <w:pageBreakBefore w:val="0"/>
              <w:widowControl/>
              <w:kinsoku/>
              <w:wordWrap/>
              <w:overflowPunct/>
              <w:topLinePunct w:val="0"/>
              <w:autoSpaceDE/>
              <w:autoSpaceDN/>
              <w:bidi w:val="0"/>
              <w:adjustRightInd/>
              <w:snapToGrid w:val="0"/>
              <w:spacing w:before="156" w:beforeLines="50" w:line="240" w:lineRule="auto"/>
              <w:jc w:val="center"/>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中学高级</w:t>
            </w:r>
          </w:p>
        </w:tc>
        <w:tc>
          <w:tcPr>
            <w:tcW w:w="1985" w:type="dxa"/>
            <w:noWrap w:val="0"/>
            <w:vAlign w:val="center"/>
          </w:tcPr>
          <w:p w14:paraId="6E13BC0E">
            <w:pPr>
              <w:keepNext w:val="0"/>
              <w:keepLines w:val="0"/>
              <w:pageBreakBefore w:val="0"/>
              <w:widowControl/>
              <w:kinsoku/>
              <w:wordWrap/>
              <w:overflowPunct/>
              <w:topLinePunct w:val="0"/>
              <w:autoSpaceDE/>
              <w:autoSpaceDN/>
              <w:bidi w:val="0"/>
              <w:adjustRightInd/>
              <w:snapToGrid w:val="0"/>
              <w:spacing w:before="156" w:beforeLines="50" w:line="240" w:lineRule="auto"/>
              <w:jc w:val="center"/>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中学高级</w:t>
            </w:r>
          </w:p>
        </w:tc>
        <w:tc>
          <w:tcPr>
            <w:tcW w:w="3260" w:type="dxa"/>
            <w:noWrap w:val="0"/>
            <w:vAlign w:val="center"/>
          </w:tcPr>
          <w:p w14:paraId="1DE158D0">
            <w:pPr>
              <w:keepNext w:val="0"/>
              <w:keepLines w:val="0"/>
              <w:pageBreakBefore w:val="0"/>
              <w:widowControl/>
              <w:kinsoku/>
              <w:wordWrap/>
              <w:overflowPunct/>
              <w:topLinePunct w:val="0"/>
              <w:autoSpaceDE/>
              <w:autoSpaceDN/>
              <w:bidi w:val="0"/>
              <w:adjustRightInd/>
              <w:snapToGrid w:val="0"/>
              <w:spacing w:before="156" w:beforeLines="50" w:line="240" w:lineRule="auto"/>
              <w:jc w:val="center"/>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副高级</w:t>
            </w:r>
          </w:p>
        </w:tc>
      </w:tr>
      <w:tr w14:paraId="7135263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8" w:type="dxa"/>
            <w:noWrap w:val="0"/>
            <w:vAlign w:val="center"/>
          </w:tcPr>
          <w:p w14:paraId="6C3DCD70">
            <w:pPr>
              <w:keepNext w:val="0"/>
              <w:keepLines w:val="0"/>
              <w:pageBreakBefore w:val="0"/>
              <w:widowControl/>
              <w:kinsoku/>
              <w:wordWrap/>
              <w:overflowPunct/>
              <w:topLinePunct w:val="0"/>
              <w:autoSpaceDE/>
              <w:autoSpaceDN/>
              <w:bidi w:val="0"/>
              <w:adjustRightInd/>
              <w:snapToGrid w:val="0"/>
              <w:spacing w:before="156" w:beforeLines="50" w:line="240" w:lineRule="auto"/>
              <w:jc w:val="center"/>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小学高级</w:t>
            </w:r>
          </w:p>
        </w:tc>
        <w:tc>
          <w:tcPr>
            <w:tcW w:w="1985" w:type="dxa"/>
            <w:noWrap w:val="0"/>
            <w:vAlign w:val="center"/>
          </w:tcPr>
          <w:p w14:paraId="6A212FA0">
            <w:pPr>
              <w:keepNext w:val="0"/>
              <w:keepLines w:val="0"/>
              <w:pageBreakBefore w:val="0"/>
              <w:widowControl/>
              <w:kinsoku/>
              <w:wordWrap/>
              <w:overflowPunct/>
              <w:topLinePunct w:val="0"/>
              <w:autoSpaceDE/>
              <w:autoSpaceDN/>
              <w:bidi w:val="0"/>
              <w:adjustRightInd/>
              <w:snapToGrid w:val="0"/>
              <w:spacing w:before="156" w:beforeLines="50" w:line="240" w:lineRule="auto"/>
              <w:jc w:val="center"/>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中学一级</w:t>
            </w:r>
          </w:p>
        </w:tc>
        <w:tc>
          <w:tcPr>
            <w:tcW w:w="3260" w:type="dxa"/>
            <w:noWrap w:val="0"/>
            <w:vAlign w:val="center"/>
          </w:tcPr>
          <w:p w14:paraId="559CDC0B">
            <w:pPr>
              <w:keepNext w:val="0"/>
              <w:keepLines w:val="0"/>
              <w:pageBreakBefore w:val="0"/>
              <w:widowControl/>
              <w:kinsoku/>
              <w:wordWrap/>
              <w:overflowPunct/>
              <w:topLinePunct w:val="0"/>
              <w:autoSpaceDE/>
              <w:autoSpaceDN/>
              <w:bidi w:val="0"/>
              <w:adjustRightInd/>
              <w:snapToGrid w:val="0"/>
              <w:spacing w:before="156" w:beforeLines="50" w:line="240" w:lineRule="auto"/>
              <w:jc w:val="center"/>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中级</w:t>
            </w:r>
          </w:p>
        </w:tc>
      </w:tr>
      <w:tr w14:paraId="3DB55E4F">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8" w:type="dxa"/>
            <w:noWrap w:val="0"/>
            <w:vAlign w:val="center"/>
          </w:tcPr>
          <w:p w14:paraId="1F4830F7">
            <w:pPr>
              <w:keepNext w:val="0"/>
              <w:keepLines w:val="0"/>
              <w:pageBreakBefore w:val="0"/>
              <w:widowControl/>
              <w:kinsoku/>
              <w:wordWrap/>
              <w:overflowPunct/>
              <w:topLinePunct w:val="0"/>
              <w:autoSpaceDE/>
              <w:autoSpaceDN/>
              <w:bidi w:val="0"/>
              <w:adjustRightInd/>
              <w:snapToGrid w:val="0"/>
              <w:spacing w:before="156" w:beforeLines="50" w:line="240" w:lineRule="auto"/>
              <w:jc w:val="center"/>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小学一级</w:t>
            </w:r>
          </w:p>
        </w:tc>
        <w:tc>
          <w:tcPr>
            <w:tcW w:w="1985" w:type="dxa"/>
            <w:noWrap w:val="0"/>
            <w:vAlign w:val="center"/>
          </w:tcPr>
          <w:p w14:paraId="3E19A284">
            <w:pPr>
              <w:keepNext w:val="0"/>
              <w:keepLines w:val="0"/>
              <w:pageBreakBefore w:val="0"/>
              <w:widowControl/>
              <w:kinsoku/>
              <w:wordWrap/>
              <w:overflowPunct/>
              <w:topLinePunct w:val="0"/>
              <w:autoSpaceDE/>
              <w:autoSpaceDN/>
              <w:bidi w:val="0"/>
              <w:adjustRightInd/>
              <w:snapToGrid w:val="0"/>
              <w:spacing w:before="156" w:beforeLines="50" w:line="240" w:lineRule="auto"/>
              <w:jc w:val="center"/>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中学二级</w:t>
            </w:r>
          </w:p>
        </w:tc>
        <w:tc>
          <w:tcPr>
            <w:tcW w:w="3260" w:type="dxa"/>
            <w:noWrap w:val="0"/>
            <w:vAlign w:val="center"/>
          </w:tcPr>
          <w:p w14:paraId="7722994D">
            <w:pPr>
              <w:keepNext w:val="0"/>
              <w:keepLines w:val="0"/>
              <w:pageBreakBefore w:val="0"/>
              <w:widowControl/>
              <w:kinsoku/>
              <w:wordWrap/>
              <w:overflowPunct/>
              <w:topLinePunct w:val="0"/>
              <w:autoSpaceDE/>
              <w:autoSpaceDN/>
              <w:bidi w:val="0"/>
              <w:adjustRightInd/>
              <w:snapToGrid w:val="0"/>
              <w:spacing w:before="156" w:beforeLines="50" w:line="240" w:lineRule="auto"/>
              <w:jc w:val="center"/>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助理级</w:t>
            </w:r>
          </w:p>
        </w:tc>
      </w:tr>
      <w:tr w14:paraId="1A33DFA4">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8" w:type="dxa"/>
            <w:tcBorders>
              <w:bottom w:val="single" w:color="auto" w:sz="4" w:space="0"/>
            </w:tcBorders>
            <w:noWrap w:val="0"/>
            <w:vAlign w:val="center"/>
          </w:tcPr>
          <w:p w14:paraId="236ABF28">
            <w:pPr>
              <w:keepNext w:val="0"/>
              <w:keepLines w:val="0"/>
              <w:pageBreakBefore w:val="0"/>
              <w:widowControl/>
              <w:kinsoku/>
              <w:wordWrap/>
              <w:overflowPunct/>
              <w:topLinePunct w:val="0"/>
              <w:autoSpaceDE/>
              <w:autoSpaceDN/>
              <w:bidi w:val="0"/>
              <w:adjustRightInd/>
              <w:snapToGrid w:val="0"/>
              <w:spacing w:before="156" w:beforeLines="50" w:line="240" w:lineRule="auto"/>
              <w:jc w:val="center"/>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小学二级、三级</w:t>
            </w:r>
          </w:p>
        </w:tc>
        <w:tc>
          <w:tcPr>
            <w:tcW w:w="1985" w:type="dxa"/>
            <w:tcBorders>
              <w:bottom w:val="single" w:color="auto" w:sz="4" w:space="0"/>
            </w:tcBorders>
            <w:noWrap w:val="0"/>
            <w:vAlign w:val="center"/>
          </w:tcPr>
          <w:p w14:paraId="443D67D3">
            <w:pPr>
              <w:keepNext w:val="0"/>
              <w:keepLines w:val="0"/>
              <w:pageBreakBefore w:val="0"/>
              <w:widowControl/>
              <w:kinsoku/>
              <w:wordWrap/>
              <w:overflowPunct/>
              <w:topLinePunct w:val="0"/>
              <w:autoSpaceDE/>
              <w:autoSpaceDN/>
              <w:bidi w:val="0"/>
              <w:adjustRightInd/>
              <w:snapToGrid w:val="0"/>
              <w:spacing w:before="156" w:beforeLines="50" w:line="240" w:lineRule="auto"/>
              <w:jc w:val="center"/>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中学三级</w:t>
            </w:r>
          </w:p>
        </w:tc>
        <w:tc>
          <w:tcPr>
            <w:tcW w:w="3260" w:type="dxa"/>
            <w:tcBorders>
              <w:bottom w:val="single" w:color="auto" w:sz="4" w:space="0"/>
            </w:tcBorders>
            <w:noWrap w:val="0"/>
            <w:vAlign w:val="center"/>
          </w:tcPr>
          <w:p w14:paraId="4001E87D">
            <w:pPr>
              <w:keepNext w:val="0"/>
              <w:keepLines w:val="0"/>
              <w:pageBreakBefore w:val="0"/>
              <w:widowControl/>
              <w:kinsoku/>
              <w:wordWrap/>
              <w:overflowPunct/>
              <w:topLinePunct w:val="0"/>
              <w:autoSpaceDE/>
              <w:autoSpaceDN/>
              <w:bidi w:val="0"/>
              <w:adjustRightInd/>
              <w:snapToGrid w:val="0"/>
              <w:spacing w:before="156" w:beforeLines="50" w:line="240" w:lineRule="auto"/>
              <w:jc w:val="center"/>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员级</w:t>
            </w:r>
          </w:p>
        </w:tc>
      </w:tr>
      <w:tr w14:paraId="30E2675E">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8" w:type="dxa"/>
            <w:tcBorders>
              <w:top w:val="single" w:color="auto" w:sz="4" w:space="0"/>
              <w:bottom w:val="double" w:color="auto" w:sz="4" w:space="0"/>
            </w:tcBorders>
            <w:noWrap w:val="0"/>
            <w:vAlign w:val="center"/>
          </w:tcPr>
          <w:p w14:paraId="1C26A1AA">
            <w:pPr>
              <w:keepNext w:val="0"/>
              <w:keepLines w:val="0"/>
              <w:pageBreakBefore w:val="0"/>
              <w:widowControl/>
              <w:kinsoku/>
              <w:wordWrap/>
              <w:overflowPunct/>
              <w:topLinePunct w:val="0"/>
              <w:autoSpaceDE/>
              <w:autoSpaceDN/>
              <w:bidi w:val="0"/>
              <w:adjustRightInd/>
              <w:snapToGrid w:val="0"/>
              <w:spacing w:before="156" w:beforeLines="50" w:line="240" w:lineRule="auto"/>
              <w:jc w:val="center"/>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未定职级</w:t>
            </w:r>
          </w:p>
        </w:tc>
        <w:tc>
          <w:tcPr>
            <w:tcW w:w="1985" w:type="dxa"/>
            <w:tcBorders>
              <w:top w:val="single" w:color="auto" w:sz="4" w:space="0"/>
              <w:bottom w:val="double" w:color="auto" w:sz="4" w:space="0"/>
            </w:tcBorders>
            <w:noWrap w:val="0"/>
            <w:vAlign w:val="center"/>
          </w:tcPr>
          <w:p w14:paraId="49051649">
            <w:pPr>
              <w:keepNext w:val="0"/>
              <w:keepLines w:val="0"/>
              <w:pageBreakBefore w:val="0"/>
              <w:kinsoku/>
              <w:wordWrap/>
              <w:overflowPunct/>
              <w:topLinePunct w:val="0"/>
              <w:autoSpaceDE/>
              <w:autoSpaceDN/>
              <w:bidi w:val="0"/>
              <w:adjustRightInd/>
              <w:snapToGrid w:val="0"/>
              <w:spacing w:before="156" w:beforeLines="50" w:line="240" w:lineRule="auto"/>
              <w:jc w:val="center"/>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未定职级</w:t>
            </w:r>
          </w:p>
        </w:tc>
        <w:tc>
          <w:tcPr>
            <w:tcW w:w="3260" w:type="dxa"/>
            <w:tcBorders>
              <w:top w:val="single" w:color="auto" w:sz="4" w:space="0"/>
              <w:bottom w:val="double" w:color="auto" w:sz="4" w:space="0"/>
            </w:tcBorders>
            <w:noWrap w:val="0"/>
            <w:vAlign w:val="center"/>
          </w:tcPr>
          <w:p w14:paraId="2CDAC705">
            <w:pPr>
              <w:keepNext w:val="0"/>
              <w:keepLines w:val="0"/>
              <w:pageBreakBefore w:val="0"/>
              <w:widowControl/>
              <w:kinsoku/>
              <w:wordWrap/>
              <w:overflowPunct/>
              <w:topLinePunct w:val="0"/>
              <w:autoSpaceDE/>
              <w:autoSpaceDN/>
              <w:bidi w:val="0"/>
              <w:adjustRightInd/>
              <w:snapToGrid w:val="0"/>
              <w:spacing w:before="156" w:beforeLines="50" w:line="240" w:lineRule="auto"/>
              <w:jc w:val="center"/>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未定职级</w:t>
            </w:r>
          </w:p>
        </w:tc>
      </w:tr>
    </w:tbl>
    <w:p w14:paraId="5BF009C3">
      <w:pPr>
        <w:keepNext w:val="0"/>
        <w:keepLines w:val="0"/>
        <w:pageBreakBefore w:val="0"/>
        <w:kinsoku/>
        <w:wordWrap/>
        <w:overflowPunct/>
        <w:topLinePunct w:val="0"/>
        <w:autoSpaceDE/>
        <w:autoSpaceDN/>
        <w:bidi w:val="0"/>
        <w:adjustRightInd/>
        <w:snapToGrid w:val="0"/>
        <w:spacing w:before="156" w:beforeLines="50"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7.</w:t>
      </w:r>
      <w:r>
        <w:rPr>
          <w:rFonts w:hint="eastAsia" w:ascii="仿宋" w:hAnsi="仿宋" w:eastAsia="仿宋" w:cs="仿宋"/>
          <w:color w:val="auto"/>
          <w:sz w:val="24"/>
          <w:szCs w:val="24"/>
        </w:rPr>
        <w:t>“基础基431中小学、特殊教育专任教师变动情况”表，增加“幼儿园”指标项及“女”指标分类项，表中其他编号顺延，变更表名。</w:t>
      </w:r>
    </w:p>
    <w:p w14:paraId="514BC704">
      <w:pPr>
        <w:keepNext w:val="0"/>
        <w:keepLines w:val="0"/>
        <w:pageBreakBefore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8.“基础基4411教职工其他情况”和“基础基4412专任教师其他情况”两张表，增加“香港”“澳门”“台湾”指标项，表中其他编号顺延。</w:t>
      </w:r>
    </w:p>
    <w:bookmarkEnd w:id="77"/>
    <w:p w14:paraId="04A04AF0">
      <w:pPr>
        <w:keepNext w:val="0"/>
        <w:keepLines w:val="0"/>
        <w:pageBreakBefore w:val="0"/>
        <w:kinsoku/>
        <w:wordWrap/>
        <w:overflowPunct/>
        <w:topLinePunct w:val="0"/>
        <w:autoSpaceDE/>
        <w:autoSpaceDN/>
        <w:bidi w:val="0"/>
        <w:adjustRightInd/>
        <w:snapToGrid w:val="0"/>
        <w:spacing w:before="156" w:beforeLines="50" w:line="240" w:lineRule="auto"/>
        <w:ind w:firstLine="482" w:firstLineChars="200"/>
        <w:textAlignment w:val="auto"/>
        <w:rPr>
          <w:rFonts w:ascii="黑体" w:hAnsi="黑体" w:eastAsia="黑体"/>
          <w:b/>
          <w:bCs/>
          <w:color w:val="auto"/>
          <w:sz w:val="24"/>
          <w:szCs w:val="24"/>
        </w:rPr>
      </w:pPr>
      <w:r>
        <w:rPr>
          <w:rFonts w:hint="eastAsia" w:ascii="黑体" w:hAnsi="黑体" w:eastAsia="黑体"/>
          <w:b/>
          <w:bCs/>
          <w:color w:val="auto"/>
          <w:sz w:val="24"/>
          <w:szCs w:val="24"/>
        </w:rPr>
        <w:t xml:space="preserve">二、中等职业教育 </w:t>
      </w:r>
    </w:p>
    <w:p w14:paraId="6B92139E">
      <w:pPr>
        <w:keepNext w:val="0"/>
        <w:keepLines w:val="0"/>
        <w:pageBreakBefore w:val="0"/>
        <w:tabs>
          <w:tab w:val="left" w:pos="1418"/>
        </w:tabs>
        <w:kinsoku/>
        <w:wordWrap/>
        <w:overflowPunct/>
        <w:topLinePunct w:val="0"/>
        <w:autoSpaceDE/>
        <w:autoSpaceDN/>
        <w:bidi w:val="0"/>
        <w:adjustRightInd/>
        <w:snapToGrid w:val="0"/>
        <w:spacing w:line="240" w:lineRule="auto"/>
        <w:ind w:firstLine="530" w:firstLineChars="221"/>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1.</w:t>
      </w:r>
      <w:r>
        <w:rPr>
          <w:rFonts w:hint="eastAsia" w:ascii="仿宋" w:hAnsi="仿宋" w:eastAsia="仿宋" w:cs="仿宋"/>
          <w:color w:val="auto"/>
          <w:sz w:val="24"/>
          <w:szCs w:val="24"/>
        </w:rPr>
        <w:t>“中职基322招生、在校生来源情况”表，取消“港澳台侨”指标项，增加“香港”“澳门”“台湾”“华侨”指标项，表中其他编号顺延。</w:t>
      </w:r>
    </w:p>
    <w:p w14:paraId="28082EAC">
      <w:pPr>
        <w:keepNext w:val="0"/>
        <w:keepLines w:val="0"/>
        <w:pageBreakBefore w:val="0"/>
        <w:tabs>
          <w:tab w:val="left" w:pos="1418"/>
        </w:tabs>
        <w:kinsoku/>
        <w:wordWrap/>
        <w:overflowPunct/>
        <w:topLinePunct w:val="0"/>
        <w:autoSpaceDE/>
        <w:autoSpaceDN/>
        <w:bidi w:val="0"/>
        <w:adjustRightInd/>
        <w:snapToGrid w:val="0"/>
        <w:spacing w:line="240" w:lineRule="auto"/>
        <w:ind w:firstLine="530" w:firstLineChars="22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2.“中职基342在校生中其他情况”和“中职基441教职工其他情况”两张表，取消“港澳台”指标项，增加“香港”“澳门”“台湾”指标项，表中其他编号顺延。</w:t>
      </w:r>
    </w:p>
    <w:p w14:paraId="7D9A0736">
      <w:pPr>
        <w:keepNext w:val="0"/>
        <w:keepLines w:val="0"/>
        <w:pageBreakBefore w:val="0"/>
        <w:kinsoku/>
        <w:wordWrap/>
        <w:overflowPunct/>
        <w:topLinePunct w:val="0"/>
        <w:autoSpaceDE/>
        <w:autoSpaceDN/>
        <w:bidi w:val="0"/>
        <w:adjustRightInd/>
        <w:snapToGrid w:val="0"/>
        <w:spacing w:before="156" w:beforeLines="50" w:line="240" w:lineRule="auto"/>
        <w:ind w:firstLine="482" w:firstLineChars="200"/>
        <w:textAlignment w:val="auto"/>
        <w:rPr>
          <w:rFonts w:hint="eastAsia" w:ascii="黑体" w:hAnsi="黑体" w:eastAsia="黑体"/>
          <w:b/>
          <w:bCs/>
          <w:color w:val="auto"/>
          <w:sz w:val="24"/>
          <w:szCs w:val="24"/>
        </w:rPr>
      </w:pPr>
      <w:r>
        <w:rPr>
          <w:rFonts w:hint="eastAsia" w:ascii="黑体" w:hAnsi="黑体" w:eastAsia="黑体"/>
          <w:b/>
          <w:bCs/>
          <w:color w:val="auto"/>
          <w:sz w:val="24"/>
          <w:szCs w:val="24"/>
        </w:rPr>
        <w:t xml:space="preserve">三、高等教育 </w:t>
      </w:r>
    </w:p>
    <w:p w14:paraId="4EE05AFC">
      <w:pPr>
        <w:keepNext w:val="0"/>
        <w:keepLines w:val="0"/>
        <w:pageBreakBefore w:val="0"/>
        <w:tabs>
          <w:tab w:val="left" w:pos="1418"/>
        </w:tabs>
        <w:kinsoku/>
        <w:wordWrap/>
        <w:overflowPunct/>
        <w:topLinePunct w:val="0"/>
        <w:autoSpaceDE/>
        <w:autoSpaceDN/>
        <w:bidi w:val="0"/>
        <w:adjustRightInd/>
        <w:snapToGrid w:val="0"/>
        <w:spacing w:line="240" w:lineRule="auto"/>
        <w:ind w:firstLine="530" w:firstLineChars="22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1.“高基312普通本科分专业学生数”表，修改“第二学士学位填报说明”。</w:t>
      </w:r>
    </w:p>
    <w:p w14:paraId="0BFAD468">
      <w:pPr>
        <w:keepNext w:val="0"/>
        <w:keepLines w:val="0"/>
        <w:pageBreakBefore w:val="0"/>
        <w:tabs>
          <w:tab w:val="left" w:pos="1418"/>
        </w:tabs>
        <w:kinsoku/>
        <w:wordWrap/>
        <w:overflowPunct/>
        <w:topLinePunct w:val="0"/>
        <w:autoSpaceDE/>
        <w:autoSpaceDN/>
        <w:bidi w:val="0"/>
        <w:adjustRightInd/>
        <w:snapToGrid w:val="0"/>
        <w:spacing w:line="240" w:lineRule="auto"/>
        <w:ind w:firstLine="530" w:firstLineChars="22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2.“高基312普通本科分专业学生数”表，增加“</w:t>
      </w:r>
      <w:bookmarkStart w:id="78" w:name="_Hlk15549141"/>
      <w:r>
        <w:rPr>
          <w:rFonts w:hint="eastAsia" w:ascii="仿宋" w:hAnsi="仿宋" w:eastAsia="仿宋" w:cs="仿宋"/>
          <w:color w:val="auto"/>
          <w:sz w:val="24"/>
          <w:szCs w:val="24"/>
        </w:rPr>
        <w:t>对口招收中职生</w:t>
      </w:r>
      <w:bookmarkEnd w:id="78"/>
      <w:r>
        <w:rPr>
          <w:rFonts w:hint="eastAsia" w:ascii="仿宋" w:hAnsi="仿宋" w:eastAsia="仿宋" w:cs="仿宋"/>
          <w:color w:val="auto"/>
          <w:sz w:val="24"/>
          <w:szCs w:val="24"/>
        </w:rPr>
        <w:t>”指标项，增加相应填报说明。</w:t>
      </w:r>
    </w:p>
    <w:p w14:paraId="1C01F7E3">
      <w:pPr>
        <w:keepNext w:val="0"/>
        <w:keepLines w:val="0"/>
        <w:pageBreakBefore w:val="0"/>
        <w:tabs>
          <w:tab w:val="left" w:pos="1418"/>
        </w:tabs>
        <w:kinsoku/>
        <w:wordWrap/>
        <w:overflowPunct/>
        <w:topLinePunct w:val="0"/>
        <w:autoSpaceDE/>
        <w:autoSpaceDN/>
        <w:bidi w:val="0"/>
        <w:adjustRightInd/>
        <w:snapToGrid w:val="0"/>
        <w:spacing w:line="240" w:lineRule="auto"/>
        <w:ind w:firstLine="530" w:firstLineChars="22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3.“高基317硕士研究生分专业（领域）学生数”和“高基318博士研究生分专业（领域）学生数”两张表，取消“国家任务”“委托培养”“自筹经费”指标项，修改相应填报说明。</w:t>
      </w:r>
    </w:p>
    <w:p w14:paraId="11A4B912">
      <w:pPr>
        <w:keepNext w:val="0"/>
        <w:keepLines w:val="0"/>
        <w:pageBreakBefore w:val="0"/>
        <w:tabs>
          <w:tab w:val="left" w:pos="1418"/>
        </w:tabs>
        <w:kinsoku/>
        <w:wordWrap/>
        <w:overflowPunct/>
        <w:topLinePunct w:val="0"/>
        <w:autoSpaceDE/>
        <w:autoSpaceDN/>
        <w:bidi w:val="0"/>
        <w:adjustRightInd/>
        <w:snapToGrid w:val="0"/>
        <w:spacing w:line="240" w:lineRule="auto"/>
        <w:ind w:firstLine="530" w:firstLineChars="22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4.“高基317硕士研究生分专业（领域）学生数”和“高基318博士研究生分专业（领域）学生数”两张表，增加“专项招生计划”指标分类项，增加相应填报说明。</w:t>
      </w:r>
    </w:p>
    <w:p w14:paraId="091FA37F">
      <w:pPr>
        <w:keepNext w:val="0"/>
        <w:keepLines w:val="0"/>
        <w:pageBreakBefore w:val="0"/>
        <w:tabs>
          <w:tab w:val="left" w:pos="1418"/>
        </w:tabs>
        <w:kinsoku/>
        <w:wordWrap/>
        <w:overflowPunct/>
        <w:topLinePunct w:val="0"/>
        <w:autoSpaceDE/>
        <w:autoSpaceDN/>
        <w:bidi w:val="0"/>
        <w:adjustRightInd/>
        <w:snapToGrid w:val="0"/>
        <w:spacing w:line="240" w:lineRule="auto"/>
        <w:ind w:firstLine="530" w:firstLineChars="22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高基322招生、在校生来源情况”“高基941普通专科生、普通预科生录取来源情况”“高基942普通本科生、普通预科生录取来源情况”“高基943普通专科生、普通预科生招生来源情况”“高基944普通本科生、普通预科生招生来源情况”等五张表，取消“港澳台侨”指标项，增加“香港”“澳门”“台湾”“华侨”指标项，表中其他编号顺延。</w:t>
      </w:r>
    </w:p>
    <w:p w14:paraId="4A6566F1">
      <w:pPr>
        <w:keepNext w:val="0"/>
        <w:keepLines w:val="0"/>
        <w:pageBreakBefore w:val="0"/>
        <w:tabs>
          <w:tab w:val="left" w:pos="1418"/>
        </w:tabs>
        <w:kinsoku/>
        <w:wordWrap/>
        <w:overflowPunct/>
        <w:topLinePunct w:val="0"/>
        <w:autoSpaceDE/>
        <w:autoSpaceDN/>
        <w:bidi w:val="0"/>
        <w:adjustRightInd/>
        <w:snapToGrid w:val="0"/>
        <w:spacing w:line="240" w:lineRule="auto"/>
        <w:ind w:firstLine="530" w:firstLineChars="22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6.“高基341在校生其他情况”和“高基461教职工其他情况”两张表，取消“港澳台”指标项，增加“香港”“澳门”“台湾”指标项，</w:t>
      </w:r>
      <w:bookmarkStart w:id="79" w:name="_Hlk15549783"/>
      <w:r>
        <w:rPr>
          <w:rFonts w:hint="eastAsia" w:ascii="仿宋" w:hAnsi="仿宋" w:eastAsia="仿宋" w:cs="仿宋"/>
          <w:color w:val="auto"/>
          <w:sz w:val="24"/>
          <w:szCs w:val="24"/>
        </w:rPr>
        <w:t>表中其他编号顺延</w:t>
      </w:r>
      <w:bookmarkEnd w:id="79"/>
      <w:r>
        <w:rPr>
          <w:rFonts w:hint="eastAsia" w:ascii="仿宋" w:hAnsi="仿宋" w:eastAsia="仿宋" w:cs="仿宋"/>
          <w:color w:val="auto"/>
          <w:sz w:val="24"/>
          <w:szCs w:val="24"/>
        </w:rPr>
        <w:t>。</w:t>
      </w:r>
    </w:p>
    <w:p w14:paraId="7AD7E28A">
      <w:pPr>
        <w:keepNext w:val="0"/>
        <w:keepLines w:val="0"/>
        <w:pageBreakBefore w:val="0"/>
        <w:tabs>
          <w:tab w:val="left" w:pos="1418"/>
        </w:tabs>
        <w:kinsoku/>
        <w:wordWrap/>
        <w:overflowPunct/>
        <w:topLinePunct w:val="0"/>
        <w:autoSpaceDE/>
        <w:autoSpaceDN/>
        <w:bidi w:val="0"/>
        <w:adjustRightInd/>
        <w:snapToGrid w:val="0"/>
        <w:spacing w:line="240" w:lineRule="auto"/>
        <w:ind w:firstLine="530" w:firstLineChars="22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7.“高基942 普通本科生、普通预科生录取来源情况”和“ 高基944普通本科生、普通预科生招生来源情况”两张表，取消“第二学士学位”指标项。</w:t>
      </w:r>
    </w:p>
    <w:p w14:paraId="75192048">
      <w:pPr>
        <w:keepNext w:val="0"/>
        <w:keepLines w:val="0"/>
        <w:pageBreakBefore w:val="0"/>
        <w:tabs>
          <w:tab w:val="left" w:pos="1418"/>
        </w:tabs>
        <w:kinsoku/>
        <w:wordWrap/>
        <w:overflowPunct/>
        <w:topLinePunct w:val="0"/>
        <w:autoSpaceDE/>
        <w:autoSpaceDN/>
        <w:bidi w:val="0"/>
        <w:adjustRightInd/>
        <w:snapToGrid w:val="0"/>
        <w:spacing w:line="240" w:lineRule="auto"/>
        <w:ind w:firstLine="530" w:firstLineChars="221"/>
        <w:textAlignment w:val="auto"/>
        <w:rPr>
          <w:rFonts w:hint="eastAsia" w:ascii="黑体" w:hAnsi="黑体" w:eastAsia="黑体" w:cs="黑体"/>
          <w:b/>
          <w:bCs/>
          <w:i w:val="0"/>
          <w:iCs w:val="0"/>
          <w:caps w:val="0"/>
          <w:color w:val="auto"/>
          <w:spacing w:val="0"/>
          <w:sz w:val="36"/>
          <w:szCs w:val="36"/>
          <w:lang w:val="en-US" w:eastAsia="zh-CN"/>
        </w:rPr>
      </w:pPr>
      <w:r>
        <w:rPr>
          <w:rFonts w:hint="eastAsia" w:ascii="仿宋" w:hAnsi="仿宋" w:eastAsia="仿宋" w:cs="仿宋"/>
          <w:color w:val="auto"/>
          <w:sz w:val="24"/>
          <w:szCs w:val="24"/>
        </w:rPr>
        <w:t>8.“高基942普通本科生、普通预科生录取来源情况”和“高基944普通本科生、普通预科生招生来源情况”两张表，取消“农村”指标项，增加“国家专项计划”“地方专项计划”“高校专项计划”指标项，表中其他编号顺延，修改相应填报说明。</w:t>
      </w:r>
    </w:p>
    <w:p w14:paraId="76B30280">
      <w:pPr>
        <w:pageBreakBefore w:val="0"/>
        <w:kinsoku/>
        <w:topLinePunct w:val="0"/>
        <w:autoSpaceDE/>
        <w:autoSpaceDN/>
        <w:bidi w:val="0"/>
        <w:adjustRightInd/>
        <w:spacing w:line="240" w:lineRule="auto"/>
        <w:rPr>
          <w:rFonts w:hint="eastAsia" w:ascii="黑体" w:hAnsi="黑体" w:eastAsia="黑体" w:cs="黑体"/>
          <w:b/>
          <w:bCs/>
          <w:i w:val="0"/>
          <w:iCs w:val="0"/>
          <w:caps w:val="0"/>
          <w:color w:val="auto"/>
          <w:spacing w:val="0"/>
          <w:sz w:val="36"/>
          <w:szCs w:val="36"/>
          <w:lang w:val="en-US" w:eastAsia="zh-CN"/>
        </w:rPr>
      </w:pPr>
    </w:p>
    <w:p w14:paraId="30A0CB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汉仪中宋简">
    <w:altName w:val="宋体"/>
    <w:panose1 w:val="02010600000101010101"/>
    <w:charset w:val="86"/>
    <w:family w:val="modern"/>
    <w:pitch w:val="default"/>
    <w:sig w:usb0="00000000" w:usb1="00000000" w:usb2="00000002" w:usb3="00000000" w:csb0="00040000" w:csb1="00000000"/>
  </w:font>
  <w:font w:name="思源黑体 CN Normal">
    <w:altName w:val="黑体"/>
    <w:panose1 w:val="020B0400000000000000"/>
    <w:charset w:val="86"/>
    <w:family w:val="swiss"/>
    <w:pitch w:val="default"/>
    <w:sig w:usb0="00000000" w:usb1="00000000" w:usb2="00000016" w:usb3="00000000" w:csb0="000601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7577C">
    <w:pPr>
      <w:spacing w:line="173" w:lineRule="auto"/>
      <w:ind w:left="4312"/>
      <w:rPr>
        <w:rFonts w:ascii="宋体" w:hAnsi="宋体" w:eastAsia="宋体" w:cs="宋体"/>
        <w:sz w:val="18"/>
        <w:szCs w:val="18"/>
      </w:rPr>
    </w:pPr>
  </w:p>
  <w:p w14:paraId="06E45A62">
    <w:pPr>
      <w:spacing w:line="173" w:lineRule="auto"/>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BFEC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DAC04">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78265F">
                          <w:pPr>
                            <w:pStyle w:val="6"/>
                            <w:rPr>
                              <w:u w:val="none" w:color="auto"/>
                            </w:rPr>
                          </w:pPr>
                          <w:r>
                            <w:rPr>
                              <w:u w:val="none" w:color="auto"/>
                            </w:rPr>
                            <w:fldChar w:fldCharType="begin"/>
                          </w:r>
                          <w:r>
                            <w:rPr>
                              <w:u w:val="none" w:color="auto"/>
                            </w:rPr>
                            <w:instrText xml:space="preserve"> PAGE  \* MERGEFORMAT </w:instrText>
                          </w:r>
                          <w:r>
                            <w:rPr>
                              <w:u w:val="none" w:color="auto"/>
                            </w:rPr>
                            <w:fldChar w:fldCharType="separate"/>
                          </w:r>
                          <w:r>
                            <w:rPr>
                              <w:u w:val="none" w:color="auto"/>
                            </w:rPr>
                            <w:t>342</w:t>
                          </w:r>
                          <w:r>
                            <w:rPr>
                              <w:u w:val="none" w:color="auto"/>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878265F">
                    <w:pPr>
                      <w:pStyle w:val="6"/>
                      <w:rPr>
                        <w:u w:val="none" w:color="auto"/>
                      </w:rPr>
                    </w:pPr>
                    <w:r>
                      <w:rPr>
                        <w:u w:val="none" w:color="auto"/>
                      </w:rPr>
                      <w:fldChar w:fldCharType="begin"/>
                    </w:r>
                    <w:r>
                      <w:rPr>
                        <w:u w:val="none" w:color="auto"/>
                      </w:rPr>
                      <w:instrText xml:space="preserve"> PAGE  \* MERGEFORMAT </w:instrText>
                    </w:r>
                    <w:r>
                      <w:rPr>
                        <w:u w:val="none" w:color="auto"/>
                      </w:rPr>
                      <w:fldChar w:fldCharType="separate"/>
                    </w:r>
                    <w:r>
                      <w:rPr>
                        <w:u w:val="none" w:color="auto"/>
                      </w:rPr>
                      <w:t>342</w:t>
                    </w:r>
                    <w:r>
                      <w:rPr>
                        <w:u w:val="none" w:color="auto"/>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F499F"/>
    <w:rsid w:val="002630A6"/>
    <w:rsid w:val="07F03306"/>
    <w:rsid w:val="0A8E36D4"/>
    <w:rsid w:val="23A32EA8"/>
    <w:rsid w:val="27A619BF"/>
    <w:rsid w:val="2DB32009"/>
    <w:rsid w:val="37326EC0"/>
    <w:rsid w:val="385C63F4"/>
    <w:rsid w:val="39AF45BC"/>
    <w:rsid w:val="42BF499F"/>
    <w:rsid w:val="7659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00" w:lineRule="exact"/>
      <w:ind w:firstLine="480"/>
    </w:pPr>
    <w:rPr>
      <w:rFonts w:ascii="Times New Roman" w:hAnsi="Times New Roman"/>
      <w:kern w:val="0"/>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9841</Words>
  <Characters>9914</Characters>
  <Lines>0</Lines>
  <Paragraphs>0</Paragraphs>
  <TotalTime>199</TotalTime>
  <ScaleCrop>false</ScaleCrop>
  <LinksUpToDate>false</LinksUpToDate>
  <CharactersWithSpaces>10030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2024-12-19T09:41:00Z</dcterms:created>
  <dc:creator>ちいん</dc:creator>
  <cp:lastModifiedBy>ちいん</cp:lastModifiedBy>
  <dcterms:modified xsi:type="dcterms:W3CDTF">2025-02-24T02:32:08Z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98DE0DB1D46A4A6F82014449DE72058A_11</vt:lpwstr>
  </property>
  <property fmtid="{D5CDD505-2E9C-101B-9397-08002B2CF9AE}" pid="4" name="KSOTemplateDocerSaveRecord">
    <vt:lpwstr>eyJoZGlkIjoiYzY3NTM1MWIxYzQ4NGMxMzc0YWY2ZWNhNjcwYjUxMzQiLCJ1c2VySWQiOiIzMTYyNzEyODIifQ==</vt:lpwstr>
  </property>
</Properties>
</file>